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92F" w:rsidRDefault="0081592F">
      <w:pPr>
        <w:spacing w:before="10" w:after="276" w:line="318" w:lineRule="exact"/>
        <w:ind w:left="648"/>
        <w:rPr>
          <w:b/>
          <w:bCs/>
          <w:sz w:val="28"/>
          <w:szCs w:val="28"/>
        </w:rPr>
      </w:pPr>
      <w:r>
        <w:rPr>
          <w:b/>
          <w:bCs/>
          <w:sz w:val="28"/>
          <w:szCs w:val="28"/>
        </w:rPr>
        <w:t xml:space="preserve">Preparation of Papers in </w:t>
      </w:r>
      <w:r w:rsidR="00AC5949">
        <w:rPr>
          <w:b/>
          <w:bCs/>
          <w:sz w:val="28"/>
          <w:szCs w:val="28"/>
        </w:rPr>
        <w:t>Two-Column Format for REACT-2017</w:t>
      </w:r>
    </w:p>
    <w:p w:rsidR="0081592F" w:rsidRDefault="0081592F">
      <w:pPr>
        <w:spacing w:before="66" w:line="273" w:lineRule="exact"/>
        <w:ind w:left="2808"/>
        <w:rPr>
          <w:spacing w:val="-3"/>
          <w:sz w:val="16"/>
          <w:szCs w:val="16"/>
        </w:rPr>
      </w:pPr>
      <w:r>
        <w:rPr>
          <w:spacing w:val="-3"/>
        </w:rPr>
        <w:t>I Author</w:t>
      </w:r>
      <w:r>
        <w:rPr>
          <w:spacing w:val="-3"/>
          <w:vertAlign w:val="superscript"/>
        </w:rPr>
        <w:t>1</w:t>
      </w:r>
      <w:r>
        <w:rPr>
          <w:spacing w:val="-3"/>
        </w:rPr>
        <w:t>, II Author</w:t>
      </w:r>
      <w:r>
        <w:rPr>
          <w:spacing w:val="-3"/>
          <w:vertAlign w:val="superscript"/>
        </w:rPr>
        <w:t>2</w:t>
      </w:r>
      <w:r>
        <w:rPr>
          <w:spacing w:val="-3"/>
        </w:rPr>
        <w:t xml:space="preserve"> and III Author</w:t>
      </w:r>
      <w:r>
        <w:rPr>
          <w:spacing w:val="-3"/>
          <w:vertAlign w:val="superscript"/>
        </w:rPr>
        <w:t>3</w:t>
      </w:r>
    </w:p>
    <w:p w:rsidR="0081592F" w:rsidRDefault="0081592F">
      <w:pPr>
        <w:spacing w:before="4" w:after="331" w:line="232" w:lineRule="exact"/>
        <w:ind w:left="1512" w:right="2304"/>
        <w:jc w:val="both"/>
        <w:rPr>
          <w:sz w:val="20"/>
          <w:szCs w:val="20"/>
        </w:rPr>
      </w:pPr>
      <w:r>
        <w:rPr>
          <w:i/>
          <w:iCs/>
          <w:sz w:val="13"/>
          <w:szCs w:val="13"/>
          <w:vertAlign w:val="superscript"/>
        </w:rPr>
        <w:t>1</w:t>
      </w:r>
      <w:r>
        <w:rPr>
          <w:i/>
          <w:iCs/>
          <w:sz w:val="20"/>
          <w:szCs w:val="20"/>
        </w:rPr>
        <w:t xml:space="preserve">Department of xxxxx Engineering, University of xxxxx, City, state, mail id. </w:t>
      </w:r>
      <w:r>
        <w:rPr>
          <w:i/>
          <w:iCs/>
          <w:sz w:val="13"/>
          <w:szCs w:val="13"/>
          <w:vertAlign w:val="superscript"/>
        </w:rPr>
        <w:t>2</w:t>
      </w:r>
      <w:r>
        <w:rPr>
          <w:i/>
          <w:iCs/>
          <w:sz w:val="20"/>
          <w:szCs w:val="20"/>
        </w:rPr>
        <w:t xml:space="preserve">Department of xxxxx Engineering, University of xxxxx, City, state, mail id. </w:t>
      </w:r>
      <w:r>
        <w:rPr>
          <w:i/>
          <w:iCs/>
          <w:sz w:val="13"/>
          <w:szCs w:val="13"/>
          <w:vertAlign w:val="superscript"/>
        </w:rPr>
        <w:t>3</w:t>
      </w:r>
      <w:r>
        <w:rPr>
          <w:i/>
          <w:iCs/>
          <w:sz w:val="20"/>
          <w:szCs w:val="20"/>
        </w:rPr>
        <w:t>Department of xxxxx Engineering, University of xxxxx, City, state, mail id</w:t>
      </w:r>
      <w:r>
        <w:rPr>
          <w:sz w:val="20"/>
          <w:szCs w:val="20"/>
        </w:rPr>
        <w:t>.</w:t>
      </w:r>
    </w:p>
    <w:p w:rsidR="0081592F" w:rsidRDefault="0081592F">
      <w:pPr>
        <w:widowControl/>
        <w:kinsoku/>
        <w:overflowPunct/>
        <w:autoSpaceDE w:val="0"/>
        <w:autoSpaceDN w:val="0"/>
        <w:adjustRightInd w:val="0"/>
        <w:textAlignment w:val="auto"/>
        <w:sectPr w:rsidR="0081592F">
          <w:pgSz w:w="11909" w:h="16834"/>
          <w:pgMar w:top="1340" w:right="535" w:bottom="1391" w:left="1435" w:header="720" w:footer="720" w:gutter="0"/>
          <w:cols w:space="720"/>
          <w:noEndnote/>
        </w:sectPr>
      </w:pPr>
    </w:p>
    <w:p w:rsidR="0081592F" w:rsidRDefault="0081592F">
      <w:pPr>
        <w:spacing w:before="28" w:line="206" w:lineRule="exact"/>
        <w:ind w:firstLine="1080"/>
        <w:jc w:val="both"/>
        <w:rPr>
          <w:i/>
          <w:iCs/>
          <w:sz w:val="18"/>
          <w:szCs w:val="18"/>
        </w:rPr>
      </w:pPr>
      <w:r>
        <w:rPr>
          <w:b/>
          <w:bCs/>
          <w:sz w:val="20"/>
          <w:szCs w:val="20"/>
        </w:rPr>
        <w:lastRenderedPageBreak/>
        <w:t xml:space="preserve">Abstract - </w:t>
      </w:r>
      <w:r>
        <w:rPr>
          <w:i/>
          <w:iCs/>
          <w:sz w:val="18"/>
          <w:szCs w:val="18"/>
        </w:rPr>
        <w:t>These instructions give you basic guidelines for pre</w:t>
      </w:r>
      <w:r w:rsidR="00C664B9">
        <w:rPr>
          <w:i/>
          <w:iCs/>
          <w:sz w:val="18"/>
          <w:szCs w:val="18"/>
        </w:rPr>
        <w:t>paring papers for the REACT 2017</w:t>
      </w:r>
      <w:r>
        <w:rPr>
          <w:i/>
          <w:iCs/>
          <w:sz w:val="18"/>
          <w:szCs w:val="18"/>
        </w:rPr>
        <w:t xml:space="preserve"> Proceedings. Papers must be submitted using this format. This document is a template for Microsoft Word. Abstract should not exceed 200 words. Please include appropriate key words in your abstract, in alphabetical order, separated by commas.</w:t>
      </w:r>
    </w:p>
    <w:p w:rsidR="0081592F" w:rsidRDefault="0081592F">
      <w:pPr>
        <w:spacing w:before="201" w:line="232" w:lineRule="exact"/>
        <w:ind w:left="288"/>
        <w:rPr>
          <w:i/>
          <w:iCs/>
          <w:sz w:val="18"/>
          <w:szCs w:val="18"/>
        </w:rPr>
      </w:pPr>
      <w:r>
        <w:rPr>
          <w:b/>
          <w:bCs/>
          <w:sz w:val="18"/>
          <w:szCs w:val="18"/>
        </w:rPr>
        <w:t xml:space="preserve">Keywords </w:t>
      </w:r>
      <w:r>
        <w:rPr>
          <w:sz w:val="20"/>
          <w:szCs w:val="20"/>
        </w:rPr>
        <w:t xml:space="preserve">- </w:t>
      </w:r>
      <w:r>
        <w:rPr>
          <w:i/>
          <w:iCs/>
          <w:sz w:val="18"/>
          <w:szCs w:val="18"/>
        </w:rPr>
        <w:t>Fonts, formatting, margins</w:t>
      </w:r>
    </w:p>
    <w:p w:rsidR="0081592F" w:rsidRDefault="0081592F">
      <w:pPr>
        <w:spacing w:before="459" w:line="232" w:lineRule="exact"/>
        <w:jc w:val="center"/>
        <w:rPr>
          <w:spacing w:val="1"/>
          <w:sz w:val="20"/>
          <w:szCs w:val="20"/>
        </w:rPr>
      </w:pPr>
      <w:r>
        <w:rPr>
          <w:spacing w:val="1"/>
          <w:sz w:val="20"/>
          <w:szCs w:val="20"/>
        </w:rPr>
        <w:t>I. INTRODUCTION</w:t>
      </w:r>
    </w:p>
    <w:p w:rsidR="0081592F" w:rsidRDefault="0081592F">
      <w:pPr>
        <w:spacing w:before="160" w:line="232" w:lineRule="exact"/>
        <w:ind w:firstLine="288"/>
        <w:jc w:val="both"/>
        <w:rPr>
          <w:sz w:val="20"/>
          <w:szCs w:val="20"/>
        </w:rPr>
      </w:pPr>
      <w:r>
        <w:rPr>
          <w:sz w:val="20"/>
          <w:szCs w:val="20"/>
        </w:rPr>
        <w:t>These introductions give you basic guidelines for pre</w:t>
      </w:r>
      <w:r w:rsidR="00C664B9">
        <w:rPr>
          <w:sz w:val="20"/>
          <w:szCs w:val="20"/>
        </w:rPr>
        <w:t>paring papers for the REACT 2017</w:t>
      </w:r>
      <w:r>
        <w:rPr>
          <w:sz w:val="20"/>
          <w:szCs w:val="20"/>
        </w:rPr>
        <w:t>. The instructions assume that you have computer desktop publishing equipment with several fonts. These instructions have been prepared in the preferred format. The paper size should be limited to A4 size papers on one side. This template can be d</w:t>
      </w:r>
      <w:r w:rsidR="00C664B9">
        <w:rPr>
          <w:sz w:val="20"/>
          <w:szCs w:val="20"/>
        </w:rPr>
        <w:t>ownloaded through the REACT 2017</w:t>
      </w:r>
      <w:r>
        <w:rPr>
          <w:sz w:val="20"/>
          <w:szCs w:val="20"/>
        </w:rPr>
        <w:t xml:space="preserve"> web site: </w:t>
      </w:r>
      <w:hyperlink r:id="rId6" w:history="1">
        <w:r>
          <w:rPr>
            <w:color w:val="0000FF"/>
            <w:sz w:val="20"/>
            <w:szCs w:val="20"/>
            <w:u w:val="single"/>
          </w:rPr>
          <w:t>www.vidyaacademy.ac.in</w:t>
        </w:r>
      </w:hyperlink>
      <w:r>
        <w:rPr>
          <w:sz w:val="20"/>
          <w:szCs w:val="20"/>
        </w:rPr>
        <w:t xml:space="preserve">. If you have any problem, please contact us though the </w:t>
      </w:r>
      <w:bookmarkStart w:id="0" w:name="_GoBack"/>
      <w:bookmarkEnd w:id="0"/>
      <w:r w:rsidR="00C664B9">
        <w:rPr>
          <w:color w:val="0000FF"/>
          <w:sz w:val="20"/>
          <w:szCs w:val="20"/>
          <w:u w:val="single"/>
        </w:rPr>
        <w:fldChar w:fldCharType="begin"/>
      </w:r>
      <w:r w:rsidR="00C664B9">
        <w:rPr>
          <w:color w:val="0000FF"/>
          <w:sz w:val="20"/>
          <w:szCs w:val="20"/>
          <w:u w:val="single"/>
        </w:rPr>
        <w:instrText xml:space="preserve"> HYPERLINK "mailto:email: react2017@vidyaacademy.ac.in" </w:instrText>
      </w:r>
      <w:r w:rsidR="00C664B9">
        <w:rPr>
          <w:color w:val="0000FF"/>
          <w:sz w:val="20"/>
          <w:szCs w:val="20"/>
          <w:u w:val="single"/>
        </w:rPr>
        <w:fldChar w:fldCharType="separate"/>
      </w:r>
      <w:r w:rsidR="00C664B9" w:rsidRPr="001A1F56">
        <w:rPr>
          <w:rStyle w:val="Hyperlink"/>
          <w:sz w:val="20"/>
          <w:szCs w:val="20"/>
        </w:rPr>
        <w:t>email: react2017@vidyaacademy.ac.in</w:t>
      </w:r>
      <w:r w:rsidR="00C664B9">
        <w:rPr>
          <w:color w:val="0000FF"/>
          <w:sz w:val="20"/>
          <w:szCs w:val="20"/>
          <w:u w:val="single"/>
        </w:rPr>
        <w:fldChar w:fldCharType="end"/>
      </w:r>
    </w:p>
    <w:p w:rsidR="0081592F" w:rsidRDefault="0081592F">
      <w:pPr>
        <w:spacing w:before="460" w:line="232" w:lineRule="exact"/>
        <w:jc w:val="center"/>
        <w:rPr>
          <w:spacing w:val="1"/>
          <w:sz w:val="20"/>
          <w:szCs w:val="20"/>
        </w:rPr>
      </w:pPr>
      <w:r>
        <w:rPr>
          <w:spacing w:val="1"/>
          <w:sz w:val="20"/>
          <w:szCs w:val="20"/>
        </w:rPr>
        <w:t>II. METHODOLOGY</w:t>
      </w:r>
    </w:p>
    <w:p w:rsidR="0081592F" w:rsidRDefault="0081592F">
      <w:pPr>
        <w:spacing w:before="174" w:line="235" w:lineRule="exact"/>
        <w:ind w:firstLine="288"/>
        <w:jc w:val="both"/>
        <w:rPr>
          <w:sz w:val="20"/>
          <w:szCs w:val="20"/>
        </w:rPr>
      </w:pPr>
      <w:r>
        <w:rPr>
          <w:sz w:val="20"/>
          <w:szCs w:val="20"/>
        </w:rPr>
        <w:t xml:space="preserve">All papers must be submitted electronically in .doc format. Prepare your paper using an A4 page size of 210 mm </w:t>
      </w:r>
      <w:r>
        <w:rPr>
          <w:rFonts w:ascii="Arial" w:hAnsi="Arial" w:cs="Arial"/>
          <w:sz w:val="18"/>
          <w:szCs w:val="18"/>
        </w:rPr>
        <w:t xml:space="preserve"> </w:t>
      </w:r>
      <w:r>
        <w:rPr>
          <w:sz w:val="20"/>
          <w:szCs w:val="20"/>
        </w:rPr>
        <w:t xml:space="preserve">297 mm (8.27" </w:t>
      </w:r>
      <w:r>
        <w:rPr>
          <w:rFonts w:ascii="Arial" w:hAnsi="Arial" w:cs="Arial"/>
          <w:sz w:val="18"/>
          <w:szCs w:val="18"/>
        </w:rPr>
        <w:t xml:space="preserve"> </w:t>
      </w:r>
      <w:r>
        <w:rPr>
          <w:sz w:val="20"/>
          <w:szCs w:val="20"/>
        </w:rPr>
        <w:t>11.69").</w:t>
      </w:r>
    </w:p>
    <w:p w:rsidR="0081592F" w:rsidRDefault="0081592F">
      <w:pPr>
        <w:numPr>
          <w:ilvl w:val="0"/>
          <w:numId w:val="1"/>
        </w:numPr>
        <w:spacing w:line="230" w:lineRule="exact"/>
        <w:jc w:val="both"/>
        <w:rPr>
          <w:sz w:val="20"/>
          <w:szCs w:val="20"/>
        </w:rPr>
      </w:pPr>
      <w:r>
        <w:rPr>
          <w:i/>
          <w:iCs/>
          <w:sz w:val="20"/>
          <w:szCs w:val="20"/>
        </w:rPr>
        <w:t>Type sizes and typeface</w:t>
      </w:r>
      <w:r>
        <w:rPr>
          <w:sz w:val="20"/>
          <w:szCs w:val="20"/>
        </w:rPr>
        <w:t>s: The best results will be obtained if your computer word processor has several type sizes. Try to follow the type sizes specified in Table I as best as you can. Use 14 point bold, capital letters for the title, 12 point Roman (normal) characters for author names and 10 point Roman characters for the main text and author's affiliations.</w:t>
      </w:r>
    </w:p>
    <w:p w:rsidR="0081592F" w:rsidRDefault="0081592F">
      <w:pPr>
        <w:numPr>
          <w:ilvl w:val="0"/>
          <w:numId w:val="1"/>
        </w:numPr>
        <w:spacing w:line="229" w:lineRule="exact"/>
        <w:jc w:val="both"/>
        <w:rPr>
          <w:sz w:val="20"/>
          <w:szCs w:val="20"/>
        </w:rPr>
      </w:pPr>
      <w:r>
        <w:rPr>
          <w:i/>
          <w:iCs/>
          <w:sz w:val="20"/>
          <w:szCs w:val="20"/>
        </w:rPr>
        <w:t>Format</w:t>
      </w:r>
      <w:r>
        <w:rPr>
          <w:sz w:val="20"/>
          <w:szCs w:val="20"/>
        </w:rPr>
        <w:t>: In formatting your page, set top margin to 25 mm (1") and bottom margin to 25 mm (1"). Left and right margins should be 25 mm (1"). Use a two-column format where each column is of equal width of 77 mm (3 "). Column spacing must be 6 mm (1/4"). Indent paragraphs by 6 mm (1/4").</w:t>
      </w:r>
    </w:p>
    <w:p w:rsidR="0081592F" w:rsidRDefault="0081592F">
      <w:pPr>
        <w:spacing w:line="229" w:lineRule="exact"/>
        <w:ind w:firstLine="288"/>
        <w:jc w:val="both"/>
        <w:rPr>
          <w:sz w:val="20"/>
          <w:szCs w:val="20"/>
        </w:rPr>
      </w:pPr>
      <w:r>
        <w:rPr>
          <w:sz w:val="20"/>
          <w:szCs w:val="20"/>
        </w:rPr>
        <w:t xml:space="preserve">Left and right-justify your columns. Use tables and figures adjusted to the column length. Use automatic hyphenation and check spelling. All figures, tables, and equations must be included </w:t>
      </w:r>
      <w:r>
        <w:rPr>
          <w:i/>
          <w:iCs/>
          <w:sz w:val="20"/>
          <w:szCs w:val="20"/>
        </w:rPr>
        <w:t xml:space="preserve">in-line </w:t>
      </w:r>
      <w:r>
        <w:rPr>
          <w:sz w:val="20"/>
          <w:szCs w:val="20"/>
        </w:rPr>
        <w:t>with the text. Do not use links to external files. On the last page of your paper, try to adjust the lengths of the two columns so that they are the same.</w:t>
      </w:r>
    </w:p>
    <w:p w:rsidR="0081592F" w:rsidRDefault="0081592F">
      <w:pPr>
        <w:spacing w:before="226" w:line="232" w:lineRule="exact"/>
        <w:ind w:left="1584"/>
        <w:rPr>
          <w:spacing w:val="3"/>
          <w:sz w:val="20"/>
          <w:szCs w:val="20"/>
        </w:rPr>
      </w:pPr>
      <w:r>
        <w:rPr>
          <w:sz w:val="16"/>
          <w:szCs w:val="16"/>
        </w:rPr>
        <w:br w:type="column"/>
      </w:r>
      <w:r>
        <w:rPr>
          <w:spacing w:val="3"/>
          <w:sz w:val="20"/>
          <w:szCs w:val="20"/>
        </w:rPr>
        <w:lastRenderedPageBreak/>
        <w:t>III. RESULTS</w:t>
      </w:r>
    </w:p>
    <w:p w:rsidR="0081592F" w:rsidRDefault="0081592F">
      <w:pPr>
        <w:spacing w:before="227" w:line="222" w:lineRule="exact"/>
        <w:rPr>
          <w:i/>
          <w:iCs/>
          <w:spacing w:val="3"/>
          <w:sz w:val="20"/>
          <w:szCs w:val="20"/>
        </w:rPr>
      </w:pPr>
      <w:r>
        <w:rPr>
          <w:i/>
          <w:iCs/>
          <w:spacing w:val="3"/>
          <w:sz w:val="20"/>
          <w:szCs w:val="20"/>
        </w:rPr>
        <w:t>A. Figures and Tables</w:t>
      </w:r>
    </w:p>
    <w:p w:rsidR="0081592F" w:rsidRDefault="0081592F">
      <w:pPr>
        <w:spacing w:before="230" w:line="231" w:lineRule="exact"/>
        <w:ind w:right="864" w:firstLine="432"/>
        <w:jc w:val="both"/>
        <w:rPr>
          <w:sz w:val="20"/>
          <w:szCs w:val="20"/>
        </w:rPr>
      </w:pPr>
      <w:r>
        <w:rPr>
          <w:sz w:val="20"/>
          <w:szCs w:val="20"/>
        </w:rPr>
        <w:t>The paper's graphics should have resolutions of 600 dpi for monochrome, 300 dpi for grayscale. Please do not include too much high-resolution images or photos in your paper. Please do not include color figures in the file.</w:t>
      </w:r>
    </w:p>
    <w:p w:rsidR="0081592F" w:rsidRDefault="0081592F">
      <w:pPr>
        <w:spacing w:line="240" w:lineRule="exact"/>
        <w:ind w:right="864" w:firstLine="432"/>
        <w:jc w:val="both"/>
        <w:rPr>
          <w:sz w:val="20"/>
          <w:szCs w:val="20"/>
        </w:rPr>
      </w:pPr>
      <w:r>
        <w:rPr>
          <w:sz w:val="20"/>
          <w:szCs w:val="20"/>
        </w:rPr>
        <w:t>Position figures and tables either at the top or the bottom of columns. Avoid placing them in the middle of columns. Large figures and tables may span across both columns. Figure captions should be below the figures; table names and table captions should be above the tables. Use the abbreviation “Fig.” even at the beginning of a sentence. Do not abbreviate “Table”. Tables are numbered with Roman numerals. Vertical lines in tables are optional.</w:t>
      </w:r>
    </w:p>
    <w:p w:rsidR="0081592F" w:rsidRDefault="0081592F">
      <w:pPr>
        <w:spacing w:before="3" w:line="231" w:lineRule="exact"/>
        <w:ind w:right="864" w:firstLine="432"/>
        <w:jc w:val="both"/>
        <w:rPr>
          <w:sz w:val="20"/>
          <w:szCs w:val="20"/>
        </w:rPr>
      </w:pPr>
      <w:r>
        <w:rPr>
          <w:sz w:val="20"/>
          <w:szCs w:val="20"/>
        </w:rPr>
        <w:t>Please do not include captions as part of the figures. Do not put captions in “text boxes” linked to the figures. Do not put borders around the outside of your figures.</w:t>
      </w:r>
    </w:p>
    <w:p w:rsidR="0081592F" w:rsidRDefault="0081592F">
      <w:pPr>
        <w:spacing w:line="230" w:lineRule="exact"/>
        <w:ind w:left="432"/>
        <w:jc w:val="both"/>
        <w:rPr>
          <w:sz w:val="20"/>
          <w:szCs w:val="20"/>
        </w:rPr>
      </w:pPr>
      <w:r>
        <w:rPr>
          <w:sz w:val="20"/>
          <w:szCs w:val="20"/>
        </w:rPr>
        <w:t>Figure axis labels are often a source of confusion.</w:t>
      </w:r>
    </w:p>
    <w:p w:rsidR="0081592F" w:rsidRDefault="0081592F">
      <w:pPr>
        <w:tabs>
          <w:tab w:val="left" w:pos="3816"/>
        </w:tabs>
        <w:spacing w:line="241" w:lineRule="exact"/>
        <w:ind w:right="864"/>
        <w:jc w:val="both"/>
        <w:rPr>
          <w:sz w:val="20"/>
          <w:szCs w:val="20"/>
        </w:rPr>
      </w:pPr>
      <w:r>
        <w:rPr>
          <w:sz w:val="20"/>
          <w:szCs w:val="20"/>
        </w:rPr>
        <w:t>Try to use words rather than symbols.</w:t>
      </w:r>
      <w:r>
        <w:rPr>
          <w:sz w:val="20"/>
          <w:szCs w:val="20"/>
        </w:rPr>
        <w:tab/>
        <w:t>As an</w:t>
      </w:r>
      <w:r>
        <w:rPr>
          <w:sz w:val="20"/>
          <w:szCs w:val="20"/>
        </w:rPr>
        <w:br/>
        <w:t xml:space="preserve">example, write the quantity “Magnetization,” or “Magnetization </w:t>
      </w:r>
      <w:r>
        <w:rPr>
          <w:i/>
          <w:iCs/>
          <w:sz w:val="20"/>
          <w:szCs w:val="20"/>
        </w:rPr>
        <w:t>M</w:t>
      </w:r>
      <w:r>
        <w:rPr>
          <w:sz w:val="20"/>
          <w:szCs w:val="20"/>
        </w:rPr>
        <w:t>,” not just “</w:t>
      </w:r>
      <w:r>
        <w:rPr>
          <w:i/>
          <w:iCs/>
          <w:sz w:val="20"/>
          <w:szCs w:val="20"/>
        </w:rPr>
        <w:t>M</w:t>
      </w:r>
      <w:r>
        <w:rPr>
          <w:sz w:val="20"/>
          <w:szCs w:val="20"/>
        </w:rPr>
        <w:t>.” Put units, if any, in parentheses. Do not label axes only with units. Do not label axes with a ratio of quantities and units. Figure labels should be legible, approximately 10-point type.</w:t>
      </w:r>
    </w:p>
    <w:p w:rsidR="0081592F" w:rsidRDefault="0081592F">
      <w:pPr>
        <w:spacing w:before="186" w:line="231" w:lineRule="exact"/>
        <w:jc w:val="center"/>
        <w:rPr>
          <w:spacing w:val="-1"/>
          <w:sz w:val="16"/>
          <w:szCs w:val="16"/>
        </w:rPr>
      </w:pPr>
      <w:r>
        <w:rPr>
          <w:spacing w:val="-1"/>
          <w:sz w:val="20"/>
          <w:szCs w:val="20"/>
        </w:rPr>
        <w:t>T</w:t>
      </w:r>
      <w:r>
        <w:rPr>
          <w:spacing w:val="-1"/>
          <w:sz w:val="16"/>
          <w:szCs w:val="16"/>
        </w:rPr>
        <w:t>ABLE I</w:t>
      </w:r>
    </w:p>
    <w:p w:rsidR="0081592F" w:rsidRDefault="0081592F">
      <w:pPr>
        <w:spacing w:after="58" w:line="185" w:lineRule="exact"/>
        <w:jc w:val="center"/>
        <w:rPr>
          <w:spacing w:val="2"/>
          <w:sz w:val="14"/>
          <w:szCs w:val="14"/>
        </w:rPr>
      </w:pPr>
      <w:r>
        <w:rPr>
          <w:spacing w:val="2"/>
          <w:sz w:val="16"/>
          <w:szCs w:val="16"/>
        </w:rPr>
        <w:t>T</w:t>
      </w:r>
      <w:r>
        <w:rPr>
          <w:spacing w:val="2"/>
          <w:sz w:val="14"/>
          <w:szCs w:val="14"/>
        </w:rPr>
        <w:t xml:space="preserve">YPE </w:t>
      </w:r>
      <w:r>
        <w:rPr>
          <w:spacing w:val="2"/>
          <w:sz w:val="16"/>
          <w:szCs w:val="16"/>
        </w:rPr>
        <w:t>S</w:t>
      </w:r>
      <w:r>
        <w:rPr>
          <w:spacing w:val="2"/>
          <w:sz w:val="14"/>
          <w:szCs w:val="14"/>
        </w:rPr>
        <w:t xml:space="preserve">IZES FOR </w:t>
      </w:r>
      <w:r>
        <w:rPr>
          <w:spacing w:val="2"/>
          <w:sz w:val="16"/>
          <w:szCs w:val="16"/>
        </w:rPr>
        <w:t>P</w:t>
      </w:r>
      <w:r>
        <w:rPr>
          <w:spacing w:val="2"/>
          <w:sz w:val="14"/>
          <w:szCs w:val="14"/>
        </w:rPr>
        <w:t>APERS</w:t>
      </w:r>
    </w:p>
    <w:p w:rsidR="0081592F" w:rsidRDefault="004C3DFC">
      <w:pPr>
        <w:spacing w:before="47" w:line="186" w:lineRule="exact"/>
        <w:ind w:left="360"/>
        <w:rPr>
          <w:spacing w:val="7"/>
          <w:sz w:val="10"/>
          <w:szCs w:val="10"/>
        </w:rPr>
      </w:pPr>
      <w:r>
        <w:rPr>
          <w:noProof/>
          <w:lang w:eastAsia="en-US"/>
        </w:rPr>
        <mc:AlternateContent>
          <mc:Choice Requires="wps">
            <w:drawing>
              <wp:anchor distT="0" distB="0" distL="0" distR="0" simplePos="0" relativeHeight="251658240" behindDoc="0" locked="0" layoutInCell="0" allowOverlap="1">
                <wp:simplePos x="0" y="0"/>
                <wp:positionH relativeFrom="page">
                  <wp:posOffset>3855720</wp:posOffset>
                </wp:positionH>
                <wp:positionV relativeFrom="page">
                  <wp:posOffset>7026910</wp:posOffset>
                </wp:positionV>
                <wp:extent cx="3328670" cy="49149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491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592F" w:rsidRDefault="0081592F">
                            <w:pPr>
                              <w:tabs>
                                <w:tab w:val="left" w:pos="2304"/>
                              </w:tabs>
                              <w:spacing w:before="147" w:line="187" w:lineRule="exact"/>
                              <w:ind w:left="144"/>
                              <w:rPr>
                                <w:sz w:val="16"/>
                                <w:szCs w:val="16"/>
                              </w:rPr>
                            </w:pPr>
                            <w:r>
                              <w:rPr>
                                <w:sz w:val="16"/>
                                <w:szCs w:val="16"/>
                              </w:rPr>
                              <w:t>Type</w:t>
                            </w:r>
                            <w:r>
                              <w:rPr>
                                <w:sz w:val="16"/>
                                <w:szCs w:val="16"/>
                              </w:rPr>
                              <w:tab/>
                              <w:t>Appearance</w:t>
                            </w:r>
                          </w:p>
                          <w:p w:rsidR="0081592F" w:rsidRDefault="0081592F">
                            <w:pPr>
                              <w:tabs>
                                <w:tab w:val="right" w:leader="underscore" w:pos="5184"/>
                              </w:tabs>
                              <w:spacing w:line="158" w:lineRule="exact"/>
                              <w:ind w:left="144"/>
                              <w:rPr>
                                <w:sz w:val="16"/>
                                <w:szCs w:val="16"/>
                              </w:rPr>
                            </w:pPr>
                            <w:r>
                              <w:rPr>
                                <w:sz w:val="16"/>
                                <w:szCs w:val="16"/>
                              </w:rPr>
                              <w:t xml:space="preserve">Size </w:t>
                            </w:r>
                            <w:r>
                              <w:rPr>
                                <w:sz w:val="16"/>
                                <w:szCs w:val="16"/>
                              </w:rPr>
                              <w:tab/>
                            </w:r>
                          </w:p>
                          <w:p w:rsidR="0081592F" w:rsidRDefault="0081592F">
                            <w:pPr>
                              <w:tabs>
                                <w:tab w:val="left" w:pos="3168"/>
                                <w:tab w:val="left" w:pos="4032"/>
                              </w:tabs>
                              <w:spacing w:before="8" w:after="84" w:line="186" w:lineRule="exact"/>
                              <w:ind w:left="144"/>
                              <w:rPr>
                                <w:sz w:val="16"/>
                                <w:szCs w:val="16"/>
                              </w:rPr>
                            </w:pPr>
                            <w:r>
                              <w:rPr>
                                <w:sz w:val="16"/>
                                <w:szCs w:val="16"/>
                              </w:rPr>
                              <w:t>(pts) Regular</w:t>
                            </w:r>
                            <w:r>
                              <w:rPr>
                                <w:sz w:val="16"/>
                                <w:szCs w:val="16"/>
                              </w:rPr>
                              <w:tab/>
                              <w:t>Bold</w:t>
                            </w:r>
                            <w:r>
                              <w:rPr>
                                <w:sz w:val="16"/>
                                <w:szCs w:val="16"/>
                              </w:rPr>
                              <w:tab/>
                              <w:t>Italic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303.6pt;margin-top:553.3pt;width:262.1pt;height:38.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viwIAABwFAAAOAAAAZHJzL2Uyb0RvYy54bWysVNuO2yAQfa/Uf0C8Z31ZJxtb66z20lSV&#10;thdptx9ADI5RMVAgsbdV/70DxNnN9qWq6gc8wHA4M3OGy6uxF2jPjOVK1jg7SzFislGUy22Nvz6u&#10;Z0uMrCOSEqEkq/ETs/hq9fbN5aArlqtOCcoMAhBpq0HXuHNOV0lim471xJ4pzSRstsr0xMHUbBNq&#10;yADovUjyNF0kgzJUG9Uwa2H1Lm7iVcBvW9a4z21rmUOixsDNhdGEcePHZHVJqq0huuPNgQb5BxY9&#10;4RIuPULdEUfQzvA/oHreGGVV684a1SeqbXnDQgwQTZa+iuahI5qFWCA5Vh/TZP8fbPNp/8UgTms8&#10;x0iSHkr0yEaHbtSIcp+dQdsKnB40uLkRlqHKIVKr71XzzSKpbjsit+zaGDV0jFBgl/mTyYujEcd6&#10;kM3wUVG4huycCkBja3qfOkgGAnSo0tOxMp5KA4vn5/lycQFbDewVZVaUoXQJqabT2lj3nqkeeaPG&#10;Biof0Mn+3jrPhlSTi7/MKsHpmgsRJma7uRUG7QmoZB2+eFbojsTV6TobXQPeCYaQHkkqjxmviysQ&#10;ARDwez6WIImfZZYX6U1eztaL5cWsWBfzWXmRLmdpVt6Ui7Qoi7v1L88gK6qOU8rkPZdskmdW/F35&#10;D40ShRUEioYal/N8HoI7YX8I6xBr6r9QwleJ6rmDbhW8r/Hy6EQqX/V3kkLYpHKEi2gnp/RDyiAH&#10;0z9kJWjEyyIKxI2bEVC8cDaKPoFajIJiQt3hiQGjU+YHRgO0a43t9x0xDCPxQYLifG9PhpmMzWQQ&#10;2cDRGjuMonnr4huw04ZvO0COmpbqGlTZ8iCYZxZA2U+gBQP5w3Phe/zlPHg9P2qr3wAAAP//AwBQ&#10;SwMEFAAGAAgAAAAhAK4kw8PgAAAADgEAAA8AAABkcnMvZG93bnJldi54bWxMj8FOwzAMhu9IvENk&#10;JG4saTd1pTSdYAiuiIK0a9Z4TdXGqZpsK29PeoKbrf/T78/lbrYDu+DkO0cSkpUAhtQ43VEr4fvr&#10;7SEH5oMirQZHKOEHPeyq25tSFdpd6RMvdWhZLCFfKAkmhLHg3DcGrfIrNyLF7OQmq0Jcp5brSV1j&#10;uR14KkTGreooXjBqxL3Bpq/PVsL6I90e/Hv9uh8P+Njn/qU/kZHy/m5+fgIWcA5/MCz6UR2q6HR0&#10;Z9KeDRIysU0jGoNEZBmwBUnWyQbYcZnyjQBelfz/G9UvAAAA//8DAFBLAQItABQABgAIAAAAIQC2&#10;gziS/gAAAOEBAAATAAAAAAAAAAAAAAAAAAAAAABbQ29udGVudF9UeXBlc10ueG1sUEsBAi0AFAAG&#10;AAgAAAAhADj9If/WAAAAlAEAAAsAAAAAAAAAAAAAAAAALwEAAF9yZWxzLy5yZWxzUEsBAi0AFAAG&#10;AAgAAAAhAD6C4K+LAgAAHAUAAA4AAAAAAAAAAAAAAAAALgIAAGRycy9lMm9Eb2MueG1sUEsBAi0A&#10;FAAGAAgAAAAhAK4kw8PgAAAADgEAAA8AAAAAAAAAAAAAAAAA5QQAAGRycy9kb3ducmV2LnhtbFBL&#10;BQYAAAAABAAEAPMAAADyBQAAAAA=&#10;" o:allowincell="f" stroked="f">
                <v:fill opacity="0"/>
                <v:textbox inset="0,0,0,0">
                  <w:txbxContent>
                    <w:p w:rsidR="0081592F" w:rsidRDefault="0081592F">
                      <w:pPr>
                        <w:tabs>
                          <w:tab w:val="left" w:pos="2304"/>
                        </w:tabs>
                        <w:spacing w:before="147" w:line="187" w:lineRule="exact"/>
                        <w:ind w:left="144"/>
                        <w:rPr>
                          <w:sz w:val="16"/>
                          <w:szCs w:val="16"/>
                        </w:rPr>
                      </w:pPr>
                      <w:r>
                        <w:rPr>
                          <w:sz w:val="16"/>
                          <w:szCs w:val="16"/>
                        </w:rPr>
                        <w:t>Type</w:t>
                      </w:r>
                      <w:r>
                        <w:rPr>
                          <w:sz w:val="16"/>
                          <w:szCs w:val="16"/>
                        </w:rPr>
                        <w:tab/>
                        <w:t>Appearance</w:t>
                      </w:r>
                    </w:p>
                    <w:p w:rsidR="0081592F" w:rsidRDefault="0081592F">
                      <w:pPr>
                        <w:tabs>
                          <w:tab w:val="right" w:leader="underscore" w:pos="5184"/>
                        </w:tabs>
                        <w:spacing w:line="158" w:lineRule="exact"/>
                        <w:ind w:left="144"/>
                        <w:rPr>
                          <w:sz w:val="16"/>
                          <w:szCs w:val="16"/>
                        </w:rPr>
                      </w:pPr>
                      <w:r>
                        <w:rPr>
                          <w:sz w:val="16"/>
                          <w:szCs w:val="16"/>
                        </w:rPr>
                        <w:t xml:space="preserve">Size </w:t>
                      </w:r>
                      <w:r>
                        <w:rPr>
                          <w:sz w:val="16"/>
                          <w:szCs w:val="16"/>
                        </w:rPr>
                        <w:tab/>
                      </w:r>
                    </w:p>
                    <w:p w:rsidR="0081592F" w:rsidRDefault="0081592F">
                      <w:pPr>
                        <w:tabs>
                          <w:tab w:val="left" w:pos="3168"/>
                          <w:tab w:val="left" w:pos="4032"/>
                        </w:tabs>
                        <w:spacing w:before="8" w:after="84" w:line="186" w:lineRule="exact"/>
                        <w:ind w:left="144"/>
                        <w:rPr>
                          <w:sz w:val="16"/>
                          <w:szCs w:val="16"/>
                        </w:rPr>
                      </w:pPr>
                      <w:r>
                        <w:rPr>
                          <w:sz w:val="16"/>
                          <w:szCs w:val="16"/>
                        </w:rPr>
                        <w:t>(pts) Regular</w:t>
                      </w:r>
                      <w:r>
                        <w:rPr>
                          <w:sz w:val="16"/>
                          <w:szCs w:val="16"/>
                        </w:rPr>
                        <w:tab/>
                        <w:t>Bold</w:t>
                      </w:r>
                      <w:r>
                        <w:rPr>
                          <w:sz w:val="16"/>
                          <w:szCs w:val="16"/>
                        </w:rPr>
                        <w:tab/>
                        <w:t>Italic</w:t>
                      </w:r>
                    </w:p>
                  </w:txbxContent>
                </v:textbox>
                <w10:wrap type="square" anchorx="page" anchory="page"/>
              </v:shape>
            </w:pict>
          </mc:Fallback>
        </mc:AlternateContent>
      </w:r>
      <w:r>
        <w:rPr>
          <w:noProof/>
          <w:lang w:eastAsia="en-US"/>
        </w:rPr>
        <mc:AlternateContent>
          <mc:Choice Requires="wps">
            <w:drawing>
              <wp:anchor distT="0" distB="0" distL="0" distR="0" simplePos="0" relativeHeight="251659264" behindDoc="0" locked="0" layoutInCell="0" allowOverlap="1">
                <wp:simplePos x="0" y="0"/>
                <wp:positionH relativeFrom="page">
                  <wp:posOffset>3855720</wp:posOffset>
                </wp:positionH>
                <wp:positionV relativeFrom="page">
                  <wp:posOffset>7092950</wp:posOffset>
                </wp:positionV>
                <wp:extent cx="3329305" cy="0"/>
                <wp:effectExtent l="0" t="0" r="0" b="0"/>
                <wp:wrapSquare wrapText="bothSides"/>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930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EFC192"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3.6pt,558.5pt" to="565.7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Uy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pdLKcpjOM6OBLSDEkGuv8J647FIwSS+Acgcnp2flAhBRDSLhH6a2Q&#10;MootFepLPMlmyzRmOC0FC94Q5+xhX0mLTiTMS/xiWeB5DLP6qFhEazlhm5vtiZBXG26XKuBBLcDn&#10;Zl0H4scyXW4Wm0U+yifzzShP63r0cVvlo/k2+zCrp3VV1dnPQC3Li1YwxlVgNwxnlv+d+Ldnch2r&#10;+3je+5C8RY8NA7LDP5KOYgb9rpOw1+yys4PIMI8x+PZ2wsA/7sF+fOHrXwAAAP//AwBQSwMEFAAG&#10;AAgAAAAhALUUf2jfAAAADgEAAA8AAABkcnMvZG93bnJldi54bWxMj81OwzAQhO9IvIO1SNyok1Yk&#10;KMSpClI5IA5QkLg68eZHxOvIdtPw9mwPCI67M5r5ptwudhQz+jA4UpCuEhBIjTMDdQo+3vc3dyBC&#10;1GT06AgVfGOAbXV5UerCuBO94XyIneAQCoVW0Mc4FVKGpkerw8pNSKy1zlsd+fSdNF6fONyOcp0k&#10;mbR6IG7o9YSPPTZfh6Pl3ufsaXH7nWlfZ795GOr8s33xSl1fLbt7EBGX+GeGMz6jQ8VMtTuSCWJU&#10;kCX5mq0spGnOq86WdJPegqh/f7Iq5f8Z1Q8AAAD//wMAUEsBAi0AFAAGAAgAAAAhALaDOJL+AAAA&#10;4QEAABMAAAAAAAAAAAAAAAAAAAAAAFtDb250ZW50X1R5cGVzXS54bWxQSwECLQAUAAYACAAAACEA&#10;OP0h/9YAAACUAQAACwAAAAAAAAAAAAAAAAAvAQAAX3JlbHMvLnJlbHNQSwECLQAUAAYACAAAACEA&#10;gQRlMhMCAAApBAAADgAAAAAAAAAAAAAAAAAuAgAAZHJzL2Uyb0RvYy54bWxQSwECLQAUAAYACAAA&#10;ACEAtRR/aN8AAAAOAQAADwAAAAAAAAAAAAAAAABtBAAAZHJzL2Rvd25yZXYueG1sUEsFBgAAAAAE&#10;AAQA8wAAAHkFAAAAAA==&#10;" o:allowincell="f" strokeweight="1.7pt">
                <w10:wrap type="square" anchorx="page" anchory="page"/>
              </v:line>
            </w:pict>
          </mc:Fallback>
        </mc:AlternateContent>
      </w:r>
      <w:r>
        <w:rPr>
          <w:noProof/>
          <w:lang w:eastAsia="en-US"/>
        </w:rPr>
        <mc:AlternateContent>
          <mc:Choice Requires="wps">
            <w:drawing>
              <wp:anchor distT="0" distB="0" distL="0" distR="0" simplePos="0" relativeHeight="251660288" behindDoc="0" locked="0" layoutInCell="0" allowOverlap="1">
                <wp:simplePos x="0" y="0"/>
                <wp:positionH relativeFrom="page">
                  <wp:posOffset>3855720</wp:posOffset>
                </wp:positionH>
                <wp:positionV relativeFrom="page">
                  <wp:posOffset>7506970</wp:posOffset>
                </wp:positionV>
                <wp:extent cx="3329305" cy="0"/>
                <wp:effectExtent l="0" t="0" r="0" b="0"/>
                <wp:wrapSquare wrapText="bothSides"/>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930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37E536"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03.6pt,591.1pt" to="565.75pt,5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H4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pdLKcpjOM6OBLSDEkGuv8J647FIwSS+Acgcnp2flAhBRDSLhH6a2Q&#10;MootFepLPMlmyzRmOC0FC94Q5+xhX0mLTiTMS/xiWeB5DLP6qFhEazlhm5vtiZBXG26XKuBBLcDn&#10;Zl0H4scyXW4Wm0U+yifzzShP63r0cVvlo/k2+zCrp3VV1dnPQC3Li1YwxlVgNwxnlv+d+Ldnch2r&#10;+3je+5C8RY8NA7LDP5KOYgb9rpOw1+yys4PIMI8x+PZ2wsA/7sF+fOHrXwAAAP//AwBQSwMEFAAG&#10;AAgAAAAhANSC0arfAAAADgEAAA8AAABkcnMvZG93bnJldi54bWxMj81OwzAQhO9IvIO1SNyok1S0&#10;VYhTFaRyQBygIHF14s2PiNeR7abh7dkeEL3t7oxmvi22sx3EhD70jhSkiwQEUu1MT62Cz4/93QZE&#10;iJqMHhyhgh8MsC2vrwqdG3eid5wOsRUcQiHXCroYx1zKUHdodVi4EYm1xnmrI6++lcbrE4fbQWZJ&#10;spJW98QNnR7xqcP6+3C03Puyep7dfmeat8kvH/tq/dW8eqVub+bdA4iIc/w3wxmf0aFkpsodyQQx&#10;KFgl64ytLKSbjKezJV2m9yCqv5ssC3n5RvkLAAD//wMAUEsBAi0AFAAGAAgAAAAhALaDOJL+AAAA&#10;4QEAABMAAAAAAAAAAAAAAAAAAAAAAFtDb250ZW50X1R5cGVzXS54bWxQSwECLQAUAAYACAAAACEA&#10;OP0h/9YAAACUAQAACwAAAAAAAAAAAAAAAAAvAQAAX3JlbHMvLnJlbHNQSwECLQAUAAYACAAAACEA&#10;r0Ax+BMCAAApBAAADgAAAAAAAAAAAAAAAAAuAgAAZHJzL2Uyb0RvYy54bWxQSwECLQAUAAYACAAA&#10;ACEA1ILRqt8AAAAOAQAADwAAAAAAAAAAAAAAAABtBAAAZHJzL2Rvd25yZXYueG1sUEsFBgAAAAAE&#10;AAQA8wAAAHkFAAAAAA==&#10;" o:allowincell="f" strokeweight="1.7pt">
                <w10:wrap type="square" anchorx="page" anchory="page"/>
              </v:line>
            </w:pict>
          </mc:Fallback>
        </mc:AlternateContent>
      </w:r>
      <w:r w:rsidR="0081592F">
        <w:rPr>
          <w:spacing w:val="7"/>
          <w:sz w:val="16"/>
          <w:szCs w:val="16"/>
        </w:rPr>
        <w:t xml:space="preserve">7 Table captions </w:t>
      </w:r>
      <w:r w:rsidR="0081592F">
        <w:rPr>
          <w:spacing w:val="7"/>
          <w:sz w:val="16"/>
          <w:szCs w:val="16"/>
          <w:vertAlign w:val="superscript"/>
        </w:rPr>
        <w:t>a</w:t>
      </w:r>
    </w:p>
    <w:p w:rsidR="0081592F" w:rsidRDefault="0081592F">
      <w:pPr>
        <w:spacing w:before="55" w:line="184" w:lineRule="exact"/>
        <w:ind w:left="648" w:right="2304" w:hanging="288"/>
        <w:jc w:val="both"/>
        <w:rPr>
          <w:sz w:val="16"/>
          <w:szCs w:val="16"/>
        </w:rPr>
      </w:pPr>
      <w:r>
        <w:rPr>
          <w:sz w:val="16"/>
          <w:szCs w:val="16"/>
        </w:rPr>
        <w:t xml:space="preserve">8 Section titles, tables, table names </w:t>
      </w:r>
      <w:r>
        <w:rPr>
          <w:sz w:val="16"/>
          <w:szCs w:val="16"/>
          <w:vertAlign w:val="superscript"/>
        </w:rPr>
        <w:t>a,</w:t>
      </w:r>
      <w:r>
        <w:rPr>
          <w:sz w:val="16"/>
          <w:szCs w:val="16"/>
        </w:rPr>
        <w:t xml:space="preserve"> table captions </w:t>
      </w:r>
      <w:r>
        <w:rPr>
          <w:sz w:val="16"/>
          <w:szCs w:val="16"/>
          <w:vertAlign w:val="superscript"/>
        </w:rPr>
        <w:t>a</w:t>
      </w:r>
      <w:r>
        <w:rPr>
          <w:sz w:val="16"/>
          <w:szCs w:val="16"/>
        </w:rPr>
        <w:t>, table superscripts, figure captions, text subscripts and superscripts, references, footnotes</w:t>
      </w:r>
    </w:p>
    <w:p w:rsidR="0081592F" w:rsidRDefault="0081592F">
      <w:pPr>
        <w:tabs>
          <w:tab w:val="right" w:pos="432"/>
          <w:tab w:val="left" w:pos="4032"/>
        </w:tabs>
        <w:spacing w:before="49" w:line="186" w:lineRule="exact"/>
        <w:ind w:left="360"/>
        <w:rPr>
          <w:sz w:val="16"/>
          <w:szCs w:val="16"/>
        </w:rPr>
      </w:pPr>
      <w:r>
        <w:rPr>
          <w:sz w:val="16"/>
          <w:szCs w:val="16"/>
        </w:rPr>
        <w:tab/>
        <w:t>9</w:t>
      </w:r>
      <w:r>
        <w:rPr>
          <w:sz w:val="16"/>
          <w:szCs w:val="16"/>
        </w:rPr>
        <w:tab/>
        <w:t>Abstract</w:t>
      </w:r>
    </w:p>
    <w:p w:rsidR="0081592F" w:rsidRDefault="0081592F">
      <w:pPr>
        <w:tabs>
          <w:tab w:val="right" w:pos="432"/>
          <w:tab w:val="left" w:pos="648"/>
          <w:tab w:val="left" w:pos="4032"/>
        </w:tabs>
        <w:spacing w:before="36" w:line="190" w:lineRule="exact"/>
        <w:ind w:left="360"/>
        <w:rPr>
          <w:sz w:val="16"/>
          <w:szCs w:val="16"/>
        </w:rPr>
      </w:pPr>
      <w:r>
        <w:rPr>
          <w:sz w:val="16"/>
          <w:szCs w:val="16"/>
        </w:rPr>
        <w:tab/>
        <w:t>10</w:t>
      </w:r>
      <w:r>
        <w:rPr>
          <w:sz w:val="16"/>
          <w:szCs w:val="16"/>
        </w:rPr>
        <w:tab/>
        <w:t>Main text, equations, first letter in</w:t>
      </w:r>
      <w:r>
        <w:rPr>
          <w:sz w:val="16"/>
          <w:szCs w:val="16"/>
        </w:rPr>
        <w:tab/>
        <w:t>Authors’</w:t>
      </w:r>
    </w:p>
    <w:p w:rsidR="0081592F" w:rsidRDefault="0081592F">
      <w:pPr>
        <w:tabs>
          <w:tab w:val="left" w:pos="4032"/>
        </w:tabs>
        <w:spacing w:line="183" w:lineRule="exact"/>
        <w:ind w:left="648"/>
        <w:rPr>
          <w:sz w:val="16"/>
          <w:szCs w:val="16"/>
        </w:rPr>
      </w:pPr>
      <w:r>
        <w:rPr>
          <w:sz w:val="16"/>
          <w:szCs w:val="16"/>
        </w:rPr>
        <w:t xml:space="preserve">section titles </w:t>
      </w:r>
      <w:r>
        <w:rPr>
          <w:sz w:val="16"/>
          <w:szCs w:val="16"/>
          <w:vertAlign w:val="superscript"/>
        </w:rPr>
        <w:t>a</w:t>
      </w:r>
      <w:r>
        <w:rPr>
          <w:sz w:val="16"/>
          <w:szCs w:val="16"/>
        </w:rPr>
        <w:t>, first letter in table</w:t>
      </w:r>
      <w:r>
        <w:rPr>
          <w:sz w:val="16"/>
          <w:szCs w:val="16"/>
        </w:rPr>
        <w:tab/>
        <w:t>affiliations</w:t>
      </w:r>
    </w:p>
    <w:p w:rsidR="0081592F" w:rsidRDefault="0081592F">
      <w:pPr>
        <w:tabs>
          <w:tab w:val="left" w:pos="4032"/>
        </w:tabs>
        <w:spacing w:line="186" w:lineRule="exact"/>
        <w:ind w:left="648"/>
        <w:rPr>
          <w:sz w:val="16"/>
          <w:szCs w:val="16"/>
        </w:rPr>
      </w:pPr>
      <w:r>
        <w:rPr>
          <w:sz w:val="16"/>
          <w:szCs w:val="16"/>
        </w:rPr>
        <w:t xml:space="preserve">names </w:t>
      </w:r>
      <w:r>
        <w:rPr>
          <w:sz w:val="16"/>
          <w:szCs w:val="16"/>
          <w:vertAlign w:val="superscript"/>
        </w:rPr>
        <w:t>a</w:t>
      </w:r>
      <w:r>
        <w:rPr>
          <w:sz w:val="10"/>
          <w:szCs w:val="10"/>
        </w:rPr>
        <w:tab/>
      </w:r>
      <w:r>
        <w:rPr>
          <w:sz w:val="16"/>
          <w:szCs w:val="16"/>
        </w:rPr>
        <w:t>subheading</w:t>
      </w:r>
    </w:p>
    <w:p w:rsidR="0081592F" w:rsidRDefault="0081592F">
      <w:pPr>
        <w:spacing w:before="49" w:line="191" w:lineRule="exact"/>
        <w:ind w:left="360"/>
        <w:rPr>
          <w:spacing w:val="7"/>
          <w:sz w:val="16"/>
          <w:szCs w:val="16"/>
        </w:rPr>
      </w:pPr>
      <w:r>
        <w:rPr>
          <w:spacing w:val="7"/>
          <w:sz w:val="16"/>
          <w:szCs w:val="16"/>
        </w:rPr>
        <w:t>12 Authors’ names</w:t>
      </w:r>
    </w:p>
    <w:p w:rsidR="0081592F" w:rsidRDefault="0081592F">
      <w:pPr>
        <w:spacing w:before="49" w:line="152" w:lineRule="exact"/>
        <w:ind w:left="3168"/>
        <w:rPr>
          <w:spacing w:val="-1"/>
          <w:sz w:val="16"/>
          <w:szCs w:val="16"/>
        </w:rPr>
      </w:pPr>
      <w:r>
        <w:rPr>
          <w:spacing w:val="-1"/>
          <w:sz w:val="16"/>
          <w:szCs w:val="16"/>
        </w:rPr>
        <w:t>Paper</w:t>
      </w:r>
    </w:p>
    <w:p w:rsidR="0081592F" w:rsidRDefault="0081592F">
      <w:pPr>
        <w:tabs>
          <w:tab w:val="right" w:pos="432"/>
          <w:tab w:val="left" w:pos="3168"/>
        </w:tabs>
        <w:spacing w:after="25" w:line="182" w:lineRule="exact"/>
        <w:ind w:left="360"/>
        <w:rPr>
          <w:sz w:val="16"/>
          <w:szCs w:val="16"/>
        </w:rPr>
      </w:pPr>
      <w:r>
        <w:rPr>
          <w:sz w:val="16"/>
          <w:szCs w:val="16"/>
        </w:rPr>
        <w:tab/>
        <w:t>14</w:t>
      </w:r>
      <w:r>
        <w:rPr>
          <w:sz w:val="16"/>
          <w:szCs w:val="16"/>
        </w:rPr>
        <w:tab/>
        <w:t>title</w:t>
      </w:r>
    </w:p>
    <w:p w:rsidR="0081592F" w:rsidRDefault="004C3DFC">
      <w:pPr>
        <w:spacing w:before="52" w:line="176" w:lineRule="exact"/>
        <w:ind w:left="648"/>
        <w:rPr>
          <w:sz w:val="16"/>
          <w:szCs w:val="16"/>
        </w:rPr>
      </w:pPr>
      <w:r>
        <w:rPr>
          <w:noProof/>
          <w:lang w:eastAsia="en-US"/>
        </w:rPr>
        <mc:AlternateContent>
          <mc:Choice Requires="wps">
            <w:drawing>
              <wp:anchor distT="0" distB="0" distL="0" distR="0" simplePos="0" relativeHeight="251661312" behindDoc="0" locked="0" layoutInCell="0" allowOverlap="1">
                <wp:simplePos x="0" y="0"/>
                <wp:positionH relativeFrom="column">
                  <wp:posOffset>0</wp:posOffset>
                </wp:positionH>
                <wp:positionV relativeFrom="paragraph">
                  <wp:posOffset>11430</wp:posOffset>
                </wp:positionV>
                <wp:extent cx="3329305" cy="0"/>
                <wp:effectExtent l="0" t="0" r="0" b="0"/>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930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498A25" id="Line 5"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pt" to="262.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1c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z0JneuAICKrWzoTZ6Vi/mWdPvDildtUQdeGT4ejGQloWM5E1K2DgD+Pv+s2YQQ45exzad&#10;G9sFSGgAOkc1Lnc1+NkjCofT6WQ5TWcY0cGXkGJINNb5T1x3KBgllsA5ApPTs/OBCCmGkHCP0lsh&#10;ZRRbKtRDtdlsmcYMp6VgwRvinD3sK2nRiYR5iV8sCzyPYVYfFYtoLSdsc7M9EfJqw+1SBTyoBfjc&#10;rOtA/Fimy81is8hH+WS+GeVpXY8+bqt8NN9mH2b1tK6qOvsZqGV50QrGuArshuHM8r8T//ZMrmN1&#10;H897H5K36LFhQHb4R9JRzKDfdRL2ml12dhAZ5jEG395OGPjHPdiPL3z9CwAA//8DAFBLAwQUAAYA&#10;CAAAACEA0WKzy9kAAAAEAQAADwAAAGRycy9kb3ducmV2LnhtbEyPzU7DMBCE70i8g7VI3KhDCwWF&#10;OFVBKgfEAQoS1028+RHxOrLdNLw9Cxc4zs5q5ptiM7tBTRRi79nA5SIDRVx723Nr4P1td3ELKiZk&#10;i4NnMvBFETbl6UmBufVHfqVpn1olIRxzNNClNOZax7ojh3HhR2LxGh8cJpGh1TbgUcLdoJdZttYO&#10;e5aGDkd66Kj+3B+c9D6tH2e/29rmZQqr+766+WiegzHnZ/P2DlSiOf09ww++oEMpTJU/sI1qMCBD&#10;klwFX8zr5dUKVPWrdVno//DlNwAAAP//AwBQSwECLQAUAAYACAAAACEAtoM4kv4AAADhAQAAEwAA&#10;AAAAAAAAAAAAAAAAAAAAW0NvbnRlbnRfVHlwZXNdLnhtbFBLAQItABQABgAIAAAAIQA4/SH/1gAA&#10;AJQBAAALAAAAAAAAAAAAAAAAAC8BAABfcmVscy8ucmVsc1BLAQItABQABgAIAAAAIQD7gw1cEgIA&#10;ACkEAAAOAAAAAAAAAAAAAAAAAC4CAABkcnMvZTJvRG9jLnhtbFBLAQItABQABgAIAAAAIQDRYrPL&#10;2QAAAAQBAAAPAAAAAAAAAAAAAAAAAGwEAABkcnMvZG93bnJldi54bWxQSwUGAAAAAAQABADzAAAA&#10;cgUAAAAA&#10;" o:allowincell="f" strokeweight="1.7pt">
                <w10:wrap type="square"/>
              </v:line>
            </w:pict>
          </mc:Fallback>
        </mc:AlternateContent>
      </w:r>
      <w:r w:rsidR="0081592F">
        <w:rPr>
          <w:sz w:val="10"/>
          <w:szCs w:val="10"/>
          <w:vertAlign w:val="superscript"/>
        </w:rPr>
        <w:t>a</w:t>
      </w:r>
      <w:r w:rsidR="0081592F">
        <w:rPr>
          <w:sz w:val="16"/>
          <w:szCs w:val="16"/>
        </w:rPr>
        <w:t xml:space="preserve"> Capital letters</w:t>
      </w:r>
    </w:p>
    <w:p w:rsidR="0081592F" w:rsidRDefault="0081592F">
      <w:pPr>
        <w:widowControl/>
        <w:kinsoku/>
        <w:overflowPunct/>
        <w:autoSpaceDE w:val="0"/>
        <w:autoSpaceDN w:val="0"/>
        <w:adjustRightInd w:val="0"/>
        <w:textAlignment w:val="auto"/>
        <w:sectPr w:rsidR="0081592F">
          <w:type w:val="continuous"/>
          <w:pgSz w:w="11909" w:h="16834"/>
          <w:pgMar w:top="1340" w:right="535" w:bottom="1391" w:left="1435" w:header="720" w:footer="720" w:gutter="0"/>
          <w:cols w:num="2" w:space="720" w:equalWidth="0">
            <w:col w:w="4359" w:space="278"/>
            <w:col w:w="5242"/>
          </w:cols>
          <w:noEndnote/>
        </w:sectPr>
      </w:pPr>
    </w:p>
    <w:p w:rsidR="0081592F" w:rsidRDefault="004C3DFC">
      <w:pPr>
        <w:spacing w:before="88" w:after="182"/>
        <w:ind w:left="96"/>
      </w:pPr>
      <w:r>
        <w:rPr>
          <w:noProof/>
          <w:lang w:eastAsia="en-US"/>
        </w:rPr>
        <w:lastRenderedPageBreak/>
        <w:drawing>
          <wp:inline distT="0" distB="0" distL="0" distR="0">
            <wp:extent cx="2724150" cy="2234565"/>
            <wp:effectExtent l="0" t="0" r="0" b="0"/>
            <wp:docPr id="1" name="Picture 1"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50" cy="2234565"/>
                    </a:xfrm>
                    <a:prstGeom prst="rect">
                      <a:avLst/>
                    </a:prstGeom>
                    <a:noFill/>
                    <a:ln>
                      <a:noFill/>
                    </a:ln>
                  </pic:spPr>
                </pic:pic>
              </a:graphicData>
            </a:graphic>
          </wp:inline>
        </w:drawing>
      </w:r>
    </w:p>
    <w:p w:rsidR="0081592F" w:rsidRDefault="0081592F">
      <w:pPr>
        <w:spacing w:before="8" w:line="231" w:lineRule="exact"/>
        <w:jc w:val="both"/>
        <w:rPr>
          <w:spacing w:val="2"/>
          <w:sz w:val="20"/>
          <w:szCs w:val="20"/>
        </w:rPr>
      </w:pPr>
      <w:r>
        <w:rPr>
          <w:spacing w:val="2"/>
          <w:sz w:val="20"/>
          <w:szCs w:val="20"/>
        </w:rPr>
        <w:t>Fig. 1. This is a sample figure. Captions exceeding one line are arranged like this. One line captions are left aligned. (note that they are NOT CENTER aligned)</w:t>
      </w:r>
    </w:p>
    <w:p w:rsidR="0081592F" w:rsidRDefault="0081592F">
      <w:pPr>
        <w:numPr>
          <w:ilvl w:val="0"/>
          <w:numId w:val="2"/>
        </w:numPr>
        <w:spacing w:before="228" w:line="225" w:lineRule="exact"/>
        <w:rPr>
          <w:i/>
          <w:iCs/>
          <w:sz w:val="20"/>
          <w:szCs w:val="20"/>
        </w:rPr>
      </w:pPr>
      <w:r>
        <w:rPr>
          <w:i/>
          <w:iCs/>
          <w:sz w:val="20"/>
          <w:szCs w:val="20"/>
        </w:rPr>
        <w:t>References</w:t>
      </w:r>
    </w:p>
    <w:p w:rsidR="0081592F" w:rsidRDefault="0081592F">
      <w:pPr>
        <w:spacing w:before="225" w:line="230" w:lineRule="exact"/>
        <w:ind w:firstLine="288"/>
        <w:jc w:val="both"/>
        <w:rPr>
          <w:spacing w:val="1"/>
          <w:sz w:val="20"/>
          <w:szCs w:val="20"/>
        </w:rPr>
      </w:pPr>
      <w:r>
        <w:rPr>
          <w:spacing w:val="1"/>
          <w:sz w:val="20"/>
          <w:szCs w:val="20"/>
        </w:rPr>
        <w:t>Number the citations consecutively in square brackets [1]. The sentence punctuation follows the bracket [2]. Refer simply to the reference number, as in [3]. Do not use “Ref. [3]” or “reference [3]” except at the beginning of a sentence: “Reference [3] shows ... .”</w:t>
      </w:r>
    </w:p>
    <w:p w:rsidR="0081592F" w:rsidRDefault="0081592F">
      <w:pPr>
        <w:spacing w:line="230" w:lineRule="exact"/>
        <w:ind w:firstLine="288"/>
        <w:jc w:val="both"/>
        <w:rPr>
          <w:sz w:val="20"/>
          <w:szCs w:val="20"/>
        </w:rPr>
      </w:pPr>
      <w:r>
        <w:rPr>
          <w:sz w:val="20"/>
          <w:szCs w:val="20"/>
        </w:rPr>
        <w:t>Number footnotes separately in superscripts. Place the actual footnote at the bottom of the column in which it was cited. Do not put footnotes in the reference list. Use letters for table footnotes (see Table I).</w:t>
      </w:r>
    </w:p>
    <w:p w:rsidR="0081592F" w:rsidRDefault="0081592F">
      <w:pPr>
        <w:spacing w:line="240" w:lineRule="exact"/>
        <w:ind w:firstLine="288"/>
        <w:jc w:val="both"/>
        <w:rPr>
          <w:spacing w:val="2"/>
          <w:sz w:val="20"/>
          <w:szCs w:val="20"/>
        </w:rPr>
      </w:pPr>
      <w:r>
        <w:rPr>
          <w:spacing w:val="2"/>
          <w:sz w:val="20"/>
          <w:szCs w:val="20"/>
        </w:rPr>
        <w:t>Please note that the references at the end of this document are in the preferred referencing style. Give all authors’ names; do not use “</w:t>
      </w:r>
      <w:r>
        <w:rPr>
          <w:i/>
          <w:iCs/>
          <w:spacing w:val="2"/>
          <w:sz w:val="20"/>
          <w:szCs w:val="20"/>
        </w:rPr>
        <w:t>et al</w:t>
      </w:r>
      <w:r>
        <w:rPr>
          <w:spacing w:val="2"/>
          <w:sz w:val="20"/>
          <w:szCs w:val="20"/>
        </w:rPr>
        <w:t>.” unless there are six authors or more. Use a space after authors’ initials. Papers that have not been published should be cited as “unpublished” [4]. Papers that have been accepted for publication, but not yet specified for an issue should be cited as “to be published” [5]. Papers that have been submitted for publication should be cited as “submitted for publication” [6]. Please give affiliations and addresses for private communications [7].</w:t>
      </w:r>
    </w:p>
    <w:p w:rsidR="0081592F" w:rsidRDefault="0081592F">
      <w:pPr>
        <w:spacing w:line="241" w:lineRule="exact"/>
        <w:ind w:firstLine="144"/>
        <w:jc w:val="both"/>
        <w:rPr>
          <w:sz w:val="20"/>
          <w:szCs w:val="20"/>
        </w:rPr>
      </w:pPr>
      <w:r>
        <w:rPr>
          <w:sz w:val="20"/>
          <w:szCs w:val="20"/>
        </w:rPr>
        <w:t>Capitalize only the first word in a paper title, except for proper nouns and element symbols. For papers published in translation journals, please give the English citation first, followed by the original foreign-language citation [8].</w:t>
      </w:r>
    </w:p>
    <w:p w:rsidR="0081592F" w:rsidRDefault="0081592F">
      <w:pPr>
        <w:numPr>
          <w:ilvl w:val="0"/>
          <w:numId w:val="2"/>
        </w:numPr>
        <w:spacing w:before="242" w:line="225" w:lineRule="exact"/>
        <w:rPr>
          <w:i/>
          <w:iCs/>
          <w:sz w:val="20"/>
          <w:szCs w:val="20"/>
        </w:rPr>
      </w:pPr>
      <w:r>
        <w:rPr>
          <w:i/>
          <w:iCs/>
          <w:sz w:val="20"/>
          <w:szCs w:val="20"/>
        </w:rPr>
        <w:t>Abbreviations and Acronyms</w:t>
      </w:r>
    </w:p>
    <w:p w:rsidR="0081592F" w:rsidRDefault="0081592F">
      <w:pPr>
        <w:spacing w:before="231" w:line="231" w:lineRule="exact"/>
        <w:ind w:firstLine="288"/>
        <w:jc w:val="both"/>
        <w:rPr>
          <w:sz w:val="20"/>
          <w:szCs w:val="20"/>
        </w:rPr>
      </w:pPr>
      <w:r>
        <w:rPr>
          <w:sz w:val="20"/>
          <w:szCs w:val="20"/>
        </w:rPr>
        <w:t xml:space="preserve">Define abbreviations and acronyms the first time they are used in the text, even after they have already been defined in the abstract. Abbreviations such as IEEE, SI, MKS, CGS, ac, dc, and rms do not have to be defined. Abbreviations that incorporate periods </w:t>
      </w:r>
    </w:p>
    <w:p w:rsidR="0081592F" w:rsidRDefault="0081592F">
      <w:pPr>
        <w:spacing w:before="1" w:line="230" w:lineRule="exact"/>
        <w:jc w:val="both"/>
        <w:rPr>
          <w:sz w:val="20"/>
          <w:szCs w:val="20"/>
        </w:rPr>
      </w:pPr>
      <w:r>
        <w:rPr>
          <w:sz w:val="16"/>
          <w:szCs w:val="16"/>
        </w:rPr>
        <w:br w:type="column"/>
      </w:r>
      <w:r>
        <w:rPr>
          <w:sz w:val="20"/>
          <w:szCs w:val="20"/>
        </w:rPr>
        <w:lastRenderedPageBreak/>
        <w:t>should not have spaces: write “C.N.R.S.,” not “C. N. R. S.” Do not use abbreviations in the title unless they are unavoidable</w:t>
      </w:r>
    </w:p>
    <w:p w:rsidR="0081592F" w:rsidRDefault="0081592F">
      <w:pPr>
        <w:numPr>
          <w:ilvl w:val="0"/>
          <w:numId w:val="3"/>
        </w:numPr>
        <w:spacing w:line="224" w:lineRule="exact"/>
        <w:rPr>
          <w:i/>
          <w:iCs/>
          <w:spacing w:val="-4"/>
          <w:sz w:val="20"/>
          <w:szCs w:val="20"/>
        </w:rPr>
      </w:pPr>
      <w:r>
        <w:rPr>
          <w:i/>
          <w:iCs/>
          <w:spacing w:val="-4"/>
          <w:sz w:val="20"/>
          <w:szCs w:val="20"/>
        </w:rPr>
        <w:t>Equations</w:t>
      </w:r>
    </w:p>
    <w:p w:rsidR="0081592F" w:rsidRDefault="0081592F">
      <w:pPr>
        <w:spacing w:before="221" w:line="231" w:lineRule="exact"/>
        <w:ind w:firstLine="360"/>
        <w:jc w:val="both"/>
        <w:rPr>
          <w:sz w:val="20"/>
          <w:szCs w:val="20"/>
        </w:rPr>
      </w:pPr>
      <w:r>
        <w:rPr>
          <w:sz w:val="20"/>
          <w:szCs w:val="20"/>
        </w:rP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a long dash rather than a hyphen for a minus sign. Use parentheses to avoid ambiguities in denominators. Punctuate equations with commas or periods when they are part of a sentence, as in</w:t>
      </w:r>
    </w:p>
    <w:p w:rsidR="0081592F" w:rsidRDefault="0081592F">
      <w:pPr>
        <w:tabs>
          <w:tab w:val="left" w:pos="4104"/>
        </w:tabs>
        <w:spacing w:before="230" w:line="231" w:lineRule="exact"/>
        <w:ind w:left="1296"/>
        <w:rPr>
          <w:sz w:val="20"/>
          <w:szCs w:val="20"/>
        </w:rPr>
      </w:pPr>
      <w:r>
        <w:rPr>
          <w:i/>
          <w:iCs/>
          <w:sz w:val="20"/>
          <w:szCs w:val="20"/>
        </w:rPr>
        <w:t xml:space="preserve">A </w:t>
      </w:r>
      <w:r>
        <w:rPr>
          <w:sz w:val="20"/>
          <w:szCs w:val="20"/>
        </w:rPr>
        <w:t xml:space="preserve">+ </w:t>
      </w:r>
      <w:r>
        <w:rPr>
          <w:i/>
          <w:iCs/>
          <w:sz w:val="20"/>
          <w:szCs w:val="20"/>
        </w:rPr>
        <w:t xml:space="preserve">B </w:t>
      </w:r>
      <w:r>
        <w:rPr>
          <w:sz w:val="20"/>
          <w:szCs w:val="20"/>
        </w:rPr>
        <w:t xml:space="preserve">= </w:t>
      </w:r>
      <w:r>
        <w:rPr>
          <w:i/>
          <w:iCs/>
          <w:sz w:val="20"/>
          <w:szCs w:val="20"/>
        </w:rPr>
        <w:t>C</w:t>
      </w:r>
      <w:r>
        <w:rPr>
          <w:sz w:val="20"/>
          <w:szCs w:val="20"/>
        </w:rPr>
        <w:t>.</w:t>
      </w:r>
      <w:r>
        <w:rPr>
          <w:sz w:val="20"/>
          <w:szCs w:val="20"/>
        </w:rPr>
        <w:tab/>
        <w:t>(1)</w:t>
      </w:r>
    </w:p>
    <w:p w:rsidR="0081592F" w:rsidRDefault="0081592F">
      <w:pPr>
        <w:spacing w:before="227" w:line="231" w:lineRule="exact"/>
        <w:ind w:firstLine="360"/>
        <w:jc w:val="both"/>
        <w:rPr>
          <w:sz w:val="20"/>
          <w:szCs w:val="20"/>
        </w:rPr>
      </w:pPr>
      <w:r>
        <w:rPr>
          <w:sz w:val="20"/>
          <w:szCs w:val="20"/>
        </w:rPr>
        <w:t>Be sure that the symbols in your equation have been defined before the equation appears or immediately following. Italicize variables (</w:t>
      </w:r>
      <w:r>
        <w:rPr>
          <w:i/>
          <w:iCs/>
          <w:sz w:val="20"/>
          <w:szCs w:val="20"/>
        </w:rPr>
        <w:t xml:space="preserve">T </w:t>
      </w:r>
      <w:r>
        <w:rPr>
          <w:sz w:val="20"/>
          <w:szCs w:val="20"/>
        </w:rPr>
        <w:t>might refer to temperature, but T is the unit tesla). Refer to “(1),” not “Eq. (1)” or “equation (1),” except at the beginning of a sentence: “Equation (1) is ... .”</w:t>
      </w:r>
    </w:p>
    <w:p w:rsidR="0081592F" w:rsidRDefault="0081592F">
      <w:pPr>
        <w:numPr>
          <w:ilvl w:val="0"/>
          <w:numId w:val="3"/>
        </w:numPr>
        <w:spacing w:before="228" w:line="225" w:lineRule="exact"/>
        <w:rPr>
          <w:i/>
          <w:iCs/>
          <w:spacing w:val="-2"/>
          <w:sz w:val="20"/>
          <w:szCs w:val="20"/>
        </w:rPr>
      </w:pPr>
      <w:r>
        <w:rPr>
          <w:i/>
          <w:iCs/>
          <w:spacing w:val="-2"/>
          <w:sz w:val="20"/>
          <w:szCs w:val="20"/>
        </w:rPr>
        <w:t>Other Recommendations</w:t>
      </w:r>
    </w:p>
    <w:p w:rsidR="0081592F" w:rsidRDefault="0081592F">
      <w:pPr>
        <w:spacing w:before="227" w:line="231" w:lineRule="exact"/>
        <w:ind w:firstLine="360"/>
        <w:jc w:val="both"/>
        <w:rPr>
          <w:spacing w:val="3"/>
          <w:sz w:val="20"/>
          <w:szCs w:val="20"/>
        </w:rPr>
      </w:pPr>
      <w:r>
        <w:rPr>
          <w:spacing w:val="3"/>
          <w:sz w:val="20"/>
          <w:szCs w:val="20"/>
        </w:rPr>
        <w:t>The Roman numerals used to number the section headings are optional. If you do use them, number I</w:t>
      </w:r>
      <w:r>
        <w:rPr>
          <w:spacing w:val="3"/>
          <w:sz w:val="16"/>
          <w:szCs w:val="16"/>
        </w:rPr>
        <w:t>NTRODUCTION</w:t>
      </w:r>
      <w:r>
        <w:rPr>
          <w:spacing w:val="3"/>
          <w:sz w:val="20"/>
          <w:szCs w:val="20"/>
        </w:rPr>
        <w:t>, but not R</w:t>
      </w:r>
      <w:r>
        <w:rPr>
          <w:spacing w:val="3"/>
          <w:sz w:val="16"/>
          <w:szCs w:val="16"/>
        </w:rPr>
        <w:t>EFERENCES</w:t>
      </w:r>
      <w:r>
        <w:rPr>
          <w:spacing w:val="3"/>
          <w:sz w:val="20"/>
          <w:szCs w:val="20"/>
        </w:rPr>
        <w:t>, and begin subheadings with letters. Use one space after periods and colons. Hyphenate complex modifiers: “zero</w:t>
      </w:r>
      <w:r>
        <w:rPr>
          <w:spacing w:val="3"/>
          <w:sz w:val="20"/>
          <w:szCs w:val="20"/>
        </w:rPr>
        <w:softHyphen/>
        <w:t>field-cooled magnetization.” Avoid dangling participles, such as, “Using (1), the potential was calculated.” Write instead, “The potential was calculated using (1).” Use a zero before decimal points: “0.2,” not “.2.” Use “cm</w:t>
      </w:r>
      <w:r>
        <w:rPr>
          <w:spacing w:val="3"/>
          <w:sz w:val="20"/>
          <w:szCs w:val="20"/>
          <w:vertAlign w:val="superscript"/>
        </w:rPr>
        <w:t>3</w:t>
      </w:r>
      <w:r>
        <w:rPr>
          <w:spacing w:val="3"/>
          <w:sz w:val="20"/>
          <w:szCs w:val="20"/>
        </w:rPr>
        <w:t xml:space="preserve">,” not “cc.” Indicate sample dimensions as “0.1 cm </w:t>
      </w:r>
      <w:r>
        <w:rPr>
          <w:rFonts w:ascii="Arial" w:hAnsi="Arial" w:cs="Arial"/>
          <w:spacing w:val="3"/>
          <w:sz w:val="11"/>
          <w:szCs w:val="11"/>
        </w:rPr>
        <w:t xml:space="preserve"> </w:t>
      </w:r>
      <w:r>
        <w:rPr>
          <w:spacing w:val="3"/>
          <w:sz w:val="20"/>
          <w:szCs w:val="20"/>
        </w:rPr>
        <w:t xml:space="preserve">0.2 cm,” not “0.1 </w:t>
      </w:r>
      <w:r>
        <w:rPr>
          <w:rFonts w:ascii="Arial" w:hAnsi="Arial" w:cs="Arial"/>
          <w:spacing w:val="3"/>
          <w:sz w:val="11"/>
          <w:szCs w:val="11"/>
        </w:rPr>
        <w:t xml:space="preserve"> </w:t>
      </w:r>
      <w:r>
        <w:rPr>
          <w:spacing w:val="3"/>
          <w:sz w:val="20"/>
          <w:szCs w:val="20"/>
        </w:rPr>
        <w:t>0.2 cm</w:t>
      </w:r>
      <w:r>
        <w:rPr>
          <w:spacing w:val="3"/>
          <w:sz w:val="20"/>
          <w:szCs w:val="20"/>
          <w:vertAlign w:val="superscript"/>
        </w:rPr>
        <w:t>2</w:t>
      </w:r>
      <w:r>
        <w:rPr>
          <w:spacing w:val="3"/>
          <w:sz w:val="20"/>
          <w:szCs w:val="20"/>
        </w:rPr>
        <w:t>.” The abbreviation for “seconds” is “s,” not “sec.” Do not mix complete spellings and abbreviations of units: use “Wb/m</w:t>
      </w:r>
      <w:r>
        <w:rPr>
          <w:spacing w:val="3"/>
          <w:sz w:val="20"/>
          <w:szCs w:val="20"/>
          <w:vertAlign w:val="superscript"/>
        </w:rPr>
        <w:t>2</w:t>
      </w:r>
      <w:r>
        <w:rPr>
          <w:spacing w:val="3"/>
          <w:sz w:val="20"/>
          <w:szCs w:val="20"/>
        </w:rPr>
        <w:t>” or “webers per square meter,” not “webers/m</w:t>
      </w:r>
      <w:r>
        <w:rPr>
          <w:spacing w:val="3"/>
          <w:sz w:val="20"/>
          <w:szCs w:val="20"/>
          <w:vertAlign w:val="superscript"/>
        </w:rPr>
        <w:t>2</w:t>
      </w:r>
      <w:r>
        <w:rPr>
          <w:spacing w:val="3"/>
          <w:sz w:val="20"/>
          <w:szCs w:val="20"/>
        </w:rPr>
        <w:t>.” When expressing a range of values, write “7 to 9” or “7-9,” not “7~9.” Spell units when they appear in text: “... henries,” not “... H.”</w:t>
      </w:r>
    </w:p>
    <w:p w:rsidR="0081592F" w:rsidRDefault="0081592F">
      <w:pPr>
        <w:spacing w:before="465" w:line="231" w:lineRule="exact"/>
        <w:jc w:val="center"/>
        <w:rPr>
          <w:spacing w:val="1"/>
          <w:sz w:val="20"/>
          <w:szCs w:val="20"/>
        </w:rPr>
      </w:pPr>
      <w:r>
        <w:rPr>
          <w:spacing w:val="1"/>
          <w:sz w:val="20"/>
          <w:szCs w:val="20"/>
        </w:rPr>
        <w:t>IV. DISCUSSION</w:t>
      </w:r>
    </w:p>
    <w:p w:rsidR="0081592F" w:rsidRDefault="0081592F">
      <w:pPr>
        <w:spacing w:before="219" w:line="241" w:lineRule="exact"/>
        <w:ind w:firstLine="360"/>
        <w:jc w:val="both"/>
        <w:rPr>
          <w:sz w:val="20"/>
          <w:szCs w:val="20"/>
        </w:rPr>
      </w:pPr>
      <w:r>
        <w:rPr>
          <w:sz w:val="20"/>
          <w:szCs w:val="20"/>
        </w:rPr>
        <w:t>Use either SI (MKS) or CGS as primary units. (SI units are strongly encouraged.) English units may be used as secondary units (in parentheses). This applies to papers in data storage. For example, write “15 Gb/cm</w:t>
      </w:r>
      <w:r>
        <w:rPr>
          <w:sz w:val="20"/>
          <w:szCs w:val="20"/>
          <w:vertAlign w:val="superscript"/>
        </w:rPr>
        <w:t>2</w:t>
      </w:r>
      <w:r>
        <w:rPr>
          <w:sz w:val="20"/>
          <w:szCs w:val="20"/>
        </w:rPr>
        <w:t xml:space="preserve"> (100 Gb/in</w:t>
      </w:r>
      <w:r>
        <w:rPr>
          <w:sz w:val="20"/>
          <w:szCs w:val="20"/>
          <w:vertAlign w:val="superscript"/>
        </w:rPr>
        <w:t>2</w:t>
      </w:r>
      <w:r>
        <w:rPr>
          <w:sz w:val="20"/>
          <w:szCs w:val="20"/>
        </w:rPr>
        <w:t>).” An exception is when English units are used as identifiers in trade, such as “3.5-inch disk drive.”</w:t>
      </w:r>
    </w:p>
    <w:p w:rsidR="0081592F" w:rsidRDefault="0081592F">
      <w:pPr>
        <w:spacing w:before="5" w:line="239" w:lineRule="exact"/>
        <w:ind w:firstLine="360"/>
        <w:jc w:val="both"/>
        <w:rPr>
          <w:sz w:val="20"/>
          <w:szCs w:val="20"/>
        </w:rPr>
      </w:pPr>
      <w:r>
        <w:rPr>
          <w:sz w:val="20"/>
          <w:szCs w:val="20"/>
        </w:rPr>
        <w:t>Avoid combining SI and CGS units as it leads to confusion because equations do not balance</w:t>
      </w:r>
    </w:p>
    <w:p w:rsidR="0081592F" w:rsidRDefault="0081592F">
      <w:pPr>
        <w:widowControl/>
        <w:kinsoku/>
        <w:overflowPunct/>
        <w:autoSpaceDE w:val="0"/>
        <w:autoSpaceDN w:val="0"/>
        <w:adjustRightInd w:val="0"/>
        <w:textAlignment w:val="auto"/>
        <w:sectPr w:rsidR="0081592F">
          <w:pgSz w:w="11909" w:h="16834"/>
          <w:pgMar w:top="1443" w:right="1349" w:bottom="1083" w:left="1435" w:header="720" w:footer="720" w:gutter="0"/>
          <w:cols w:num="2" w:space="720" w:equalWidth="0">
            <w:col w:w="4387" w:space="291"/>
            <w:col w:w="4387"/>
          </w:cols>
          <w:noEndnote/>
        </w:sectPr>
      </w:pPr>
    </w:p>
    <w:p w:rsidR="0081592F" w:rsidRDefault="0081592F">
      <w:pPr>
        <w:spacing w:line="240" w:lineRule="exact"/>
        <w:jc w:val="both"/>
        <w:rPr>
          <w:sz w:val="20"/>
          <w:szCs w:val="20"/>
        </w:rPr>
      </w:pPr>
      <w:r>
        <w:rPr>
          <w:sz w:val="20"/>
          <w:szCs w:val="20"/>
        </w:rPr>
        <w:lastRenderedPageBreak/>
        <w:t>dimensionally If you must use mixed units, clearly state the units for each quantity that you use in an equation.</w:t>
      </w:r>
    </w:p>
    <w:p w:rsidR="0081592F" w:rsidRDefault="0081592F">
      <w:pPr>
        <w:spacing w:before="4" w:line="241" w:lineRule="exact"/>
        <w:ind w:firstLine="360"/>
        <w:jc w:val="both"/>
        <w:rPr>
          <w:sz w:val="20"/>
          <w:szCs w:val="20"/>
        </w:rPr>
      </w:pPr>
      <w:r>
        <w:rPr>
          <w:sz w:val="20"/>
          <w:szCs w:val="20"/>
        </w:rPr>
        <w:t xml:space="preserve">In American English, periods and commas are within quotation marks, like “this period.” A parenthetical statement at the end of a sentence is punctuated outside of the closing parenthesis (like this). (A parenthetical </w:t>
      </w:r>
      <w:r>
        <w:rPr>
          <w:i/>
          <w:iCs/>
          <w:sz w:val="20"/>
          <w:szCs w:val="20"/>
        </w:rPr>
        <w:t xml:space="preserve">sentence </w:t>
      </w:r>
      <w:r>
        <w:rPr>
          <w:sz w:val="20"/>
          <w:szCs w:val="20"/>
        </w:rPr>
        <w:t>is punctuated within the parentheses.)</w:t>
      </w:r>
    </w:p>
    <w:p w:rsidR="0081592F" w:rsidRDefault="0081592F">
      <w:pPr>
        <w:spacing w:before="488" w:line="227" w:lineRule="exact"/>
        <w:jc w:val="center"/>
        <w:rPr>
          <w:spacing w:val="4"/>
          <w:sz w:val="20"/>
          <w:szCs w:val="20"/>
        </w:rPr>
      </w:pPr>
      <w:r>
        <w:rPr>
          <w:spacing w:val="4"/>
          <w:sz w:val="20"/>
          <w:szCs w:val="20"/>
        </w:rPr>
        <w:t>V. CONCLUSIONS</w:t>
      </w:r>
    </w:p>
    <w:p w:rsidR="0081592F" w:rsidRDefault="0081592F">
      <w:pPr>
        <w:spacing w:before="221" w:line="240" w:lineRule="exact"/>
        <w:ind w:firstLine="360"/>
        <w:jc w:val="both"/>
        <w:rPr>
          <w:sz w:val="20"/>
          <w:szCs w:val="20"/>
        </w:rPr>
      </w:pPr>
      <w:r>
        <w:rPr>
          <w:sz w:val="20"/>
          <w:szCs w:val="20"/>
        </w:rPr>
        <w:t>Finally, you are responsible for language as editors will not check it. Do a spell and grammar check. This is available in Word.</w:t>
      </w:r>
    </w:p>
    <w:p w:rsidR="0081592F" w:rsidRDefault="0081592F">
      <w:pPr>
        <w:spacing w:before="246" w:line="241" w:lineRule="exact"/>
        <w:ind w:firstLine="360"/>
        <w:jc w:val="both"/>
        <w:rPr>
          <w:sz w:val="20"/>
          <w:szCs w:val="20"/>
        </w:rPr>
      </w:pPr>
      <w:r>
        <w:rPr>
          <w:sz w:val="20"/>
          <w:szCs w:val="20"/>
        </w:rPr>
        <w:t>Prefixes such as “non,” “sub,” “micro,” “multi,” and “ultra” are not independent words; they should be joined to the words they modify, usually without a hyphen. There is no period after the “et” in the Latin abbreviation “</w:t>
      </w:r>
      <w:r>
        <w:rPr>
          <w:i/>
          <w:iCs/>
          <w:sz w:val="20"/>
          <w:szCs w:val="20"/>
        </w:rPr>
        <w:t>et al.</w:t>
      </w:r>
      <w:r>
        <w:rPr>
          <w:sz w:val="20"/>
          <w:szCs w:val="20"/>
        </w:rPr>
        <w:t>” (it is also italicized). The abbreviation “i.e.,” means “that is,” and the abbreviation “e.g.,” means “for example” (these abbreviations are not italicized).</w:t>
      </w:r>
    </w:p>
    <w:p w:rsidR="0081592F" w:rsidRDefault="0081592F">
      <w:pPr>
        <w:spacing w:before="542" w:line="183" w:lineRule="exact"/>
        <w:jc w:val="center"/>
        <w:rPr>
          <w:sz w:val="16"/>
          <w:szCs w:val="16"/>
        </w:rPr>
      </w:pPr>
      <w:r>
        <w:rPr>
          <w:sz w:val="20"/>
          <w:szCs w:val="20"/>
        </w:rPr>
        <w:t>R</w:t>
      </w:r>
      <w:r>
        <w:rPr>
          <w:sz w:val="16"/>
          <w:szCs w:val="16"/>
        </w:rPr>
        <w:t>EFERENCES</w:t>
      </w:r>
    </w:p>
    <w:p w:rsidR="0081592F" w:rsidRDefault="0081592F">
      <w:pPr>
        <w:numPr>
          <w:ilvl w:val="0"/>
          <w:numId w:val="4"/>
        </w:numPr>
        <w:spacing w:before="311" w:line="183" w:lineRule="exact"/>
        <w:rPr>
          <w:spacing w:val="-2"/>
          <w:sz w:val="16"/>
          <w:szCs w:val="16"/>
        </w:rPr>
      </w:pPr>
      <w:r>
        <w:rPr>
          <w:spacing w:val="-2"/>
          <w:sz w:val="17"/>
          <w:szCs w:val="17"/>
        </w:rPr>
        <w:t>G. O. Young, “</w:t>
      </w:r>
      <w:r>
        <w:rPr>
          <w:spacing w:val="-2"/>
          <w:sz w:val="16"/>
          <w:szCs w:val="16"/>
        </w:rPr>
        <w:t>Synthetic structure of industrial plastics (Book</w:t>
      </w:r>
    </w:p>
    <w:p w:rsidR="0081592F" w:rsidRDefault="0081592F">
      <w:pPr>
        <w:spacing w:line="183" w:lineRule="exact"/>
        <w:ind w:left="360"/>
        <w:jc w:val="both"/>
        <w:rPr>
          <w:spacing w:val="4"/>
          <w:sz w:val="16"/>
          <w:szCs w:val="16"/>
        </w:rPr>
      </w:pPr>
      <w:r>
        <w:rPr>
          <w:spacing w:val="4"/>
          <w:sz w:val="17"/>
          <w:szCs w:val="17"/>
        </w:rPr>
        <w:t xml:space="preserve">style with paper title and editor),” </w:t>
      </w:r>
      <w:r>
        <w:rPr>
          <w:spacing w:val="4"/>
          <w:sz w:val="16"/>
          <w:szCs w:val="16"/>
        </w:rPr>
        <w:t xml:space="preserve">in </w:t>
      </w:r>
      <w:r>
        <w:rPr>
          <w:i/>
          <w:iCs/>
          <w:spacing w:val="4"/>
          <w:sz w:val="16"/>
          <w:szCs w:val="16"/>
        </w:rPr>
        <w:t>Plastics</w:t>
      </w:r>
      <w:r>
        <w:rPr>
          <w:spacing w:val="4"/>
          <w:sz w:val="16"/>
          <w:szCs w:val="16"/>
        </w:rPr>
        <w:t>, 2nd ed. vol. 3, J. Peters, Ed. New York: McGraw-Hill, 1964, pp. 15</w:t>
      </w:r>
      <w:r>
        <w:rPr>
          <w:spacing w:val="4"/>
          <w:sz w:val="17"/>
          <w:szCs w:val="17"/>
        </w:rPr>
        <w:t xml:space="preserve">– </w:t>
      </w:r>
      <w:r>
        <w:rPr>
          <w:spacing w:val="4"/>
          <w:sz w:val="16"/>
          <w:szCs w:val="16"/>
        </w:rPr>
        <w:t>64.</w:t>
      </w:r>
    </w:p>
    <w:p w:rsidR="0081592F" w:rsidRDefault="0081592F">
      <w:pPr>
        <w:numPr>
          <w:ilvl w:val="0"/>
          <w:numId w:val="5"/>
        </w:numPr>
        <w:spacing w:line="183" w:lineRule="exact"/>
        <w:jc w:val="both"/>
        <w:rPr>
          <w:sz w:val="16"/>
          <w:szCs w:val="16"/>
        </w:rPr>
      </w:pPr>
      <w:r>
        <w:rPr>
          <w:sz w:val="16"/>
          <w:szCs w:val="16"/>
        </w:rPr>
        <w:t xml:space="preserve">W.-K. Chen, </w:t>
      </w:r>
      <w:r>
        <w:rPr>
          <w:i/>
          <w:iCs/>
          <w:sz w:val="16"/>
          <w:szCs w:val="16"/>
        </w:rPr>
        <w:t xml:space="preserve">Linear Networks and Systems </w:t>
      </w:r>
      <w:r>
        <w:rPr>
          <w:sz w:val="16"/>
          <w:szCs w:val="16"/>
        </w:rPr>
        <w:t>(Book style)</w:t>
      </w:r>
      <w:r>
        <w:rPr>
          <w:i/>
          <w:iCs/>
          <w:sz w:val="16"/>
          <w:szCs w:val="16"/>
        </w:rPr>
        <w:t xml:space="preserve">. </w:t>
      </w:r>
      <w:r>
        <w:rPr>
          <w:sz w:val="16"/>
          <w:szCs w:val="16"/>
        </w:rPr>
        <w:t>Belmont, CA: Wadsworth, 1993, pp. 123</w:t>
      </w:r>
      <w:r>
        <w:rPr>
          <w:sz w:val="17"/>
          <w:szCs w:val="17"/>
        </w:rPr>
        <w:t>–</w:t>
      </w:r>
      <w:r>
        <w:rPr>
          <w:sz w:val="16"/>
          <w:szCs w:val="16"/>
        </w:rPr>
        <w:t>135.</w:t>
      </w:r>
    </w:p>
    <w:p w:rsidR="0081592F" w:rsidRDefault="0081592F">
      <w:pPr>
        <w:numPr>
          <w:ilvl w:val="0"/>
          <w:numId w:val="5"/>
        </w:numPr>
        <w:spacing w:before="2" w:line="182" w:lineRule="exact"/>
        <w:jc w:val="both"/>
        <w:rPr>
          <w:sz w:val="16"/>
          <w:szCs w:val="16"/>
        </w:rPr>
      </w:pPr>
      <w:r>
        <w:rPr>
          <w:sz w:val="16"/>
          <w:szCs w:val="16"/>
        </w:rPr>
        <w:t xml:space="preserve">H. Poor, </w:t>
      </w:r>
      <w:r>
        <w:rPr>
          <w:i/>
          <w:iCs/>
          <w:sz w:val="16"/>
          <w:szCs w:val="16"/>
        </w:rPr>
        <w:t>An Introduction to Signal Detection and Estimation</w:t>
      </w:r>
      <w:r>
        <w:rPr>
          <w:sz w:val="16"/>
          <w:szCs w:val="16"/>
        </w:rPr>
        <w:t>. New York: Springer-Verlag, 1985, ch. 4.</w:t>
      </w:r>
    </w:p>
    <w:p w:rsidR="0081592F" w:rsidRDefault="0081592F">
      <w:pPr>
        <w:numPr>
          <w:ilvl w:val="0"/>
          <w:numId w:val="4"/>
        </w:numPr>
        <w:spacing w:line="185" w:lineRule="exact"/>
        <w:jc w:val="both"/>
        <w:rPr>
          <w:sz w:val="17"/>
          <w:szCs w:val="17"/>
        </w:rPr>
      </w:pPr>
      <w:r>
        <w:rPr>
          <w:sz w:val="17"/>
          <w:szCs w:val="17"/>
        </w:rPr>
        <w:t>B. Smith, “An approach to graphs of linear forms (Unpublished work style),” unpublished.</w:t>
      </w:r>
    </w:p>
    <w:p w:rsidR="0081592F" w:rsidRDefault="0081592F">
      <w:pPr>
        <w:numPr>
          <w:ilvl w:val="0"/>
          <w:numId w:val="4"/>
        </w:numPr>
        <w:spacing w:before="2" w:line="183" w:lineRule="exact"/>
        <w:jc w:val="both"/>
        <w:rPr>
          <w:sz w:val="16"/>
          <w:szCs w:val="16"/>
        </w:rPr>
      </w:pPr>
      <w:r>
        <w:rPr>
          <w:sz w:val="17"/>
          <w:szCs w:val="17"/>
        </w:rPr>
        <w:t>E. H. Miller, “A note on reflector arrays (Periodic</w:t>
      </w:r>
      <w:r>
        <w:rPr>
          <w:sz w:val="16"/>
          <w:szCs w:val="16"/>
        </w:rPr>
        <w:t>al style</w:t>
      </w:r>
      <w:r>
        <w:rPr>
          <w:sz w:val="17"/>
          <w:szCs w:val="17"/>
        </w:rPr>
        <w:t xml:space="preserve">— Accepted for publication),” </w:t>
      </w:r>
      <w:r>
        <w:rPr>
          <w:i/>
          <w:iCs/>
          <w:sz w:val="16"/>
          <w:szCs w:val="16"/>
        </w:rPr>
        <w:t>IEEE Trans. Antennas Propagat.</w:t>
      </w:r>
      <w:r>
        <w:rPr>
          <w:sz w:val="16"/>
          <w:szCs w:val="16"/>
        </w:rPr>
        <w:t>, to be published.</w:t>
      </w:r>
    </w:p>
    <w:p w:rsidR="0081592F" w:rsidRDefault="0081592F">
      <w:pPr>
        <w:numPr>
          <w:ilvl w:val="0"/>
          <w:numId w:val="4"/>
        </w:numPr>
        <w:spacing w:line="184" w:lineRule="exact"/>
        <w:jc w:val="both"/>
        <w:rPr>
          <w:sz w:val="16"/>
          <w:szCs w:val="16"/>
        </w:rPr>
      </w:pPr>
      <w:r>
        <w:rPr>
          <w:sz w:val="17"/>
          <w:szCs w:val="17"/>
        </w:rPr>
        <w:t>J. Wang, “Fundamentals of erbium</w:t>
      </w:r>
      <w:r>
        <w:rPr>
          <w:sz w:val="16"/>
          <w:szCs w:val="16"/>
        </w:rPr>
        <w:t>-doped fiber amplifiers arrays (Periodical style</w:t>
      </w:r>
      <w:r>
        <w:rPr>
          <w:sz w:val="17"/>
          <w:szCs w:val="17"/>
        </w:rPr>
        <w:t xml:space="preserve">—Submitted for publication),” </w:t>
      </w:r>
      <w:r>
        <w:rPr>
          <w:i/>
          <w:iCs/>
          <w:sz w:val="16"/>
          <w:szCs w:val="16"/>
        </w:rPr>
        <w:t>IEEE J. Quantum Electron.</w:t>
      </w:r>
      <w:r>
        <w:rPr>
          <w:sz w:val="16"/>
          <w:szCs w:val="16"/>
        </w:rPr>
        <w:t>, submitted for publication.</w:t>
      </w:r>
    </w:p>
    <w:p w:rsidR="0081592F" w:rsidRDefault="0081592F">
      <w:pPr>
        <w:numPr>
          <w:ilvl w:val="0"/>
          <w:numId w:val="5"/>
        </w:numPr>
        <w:spacing w:line="182" w:lineRule="exact"/>
        <w:jc w:val="both"/>
        <w:rPr>
          <w:sz w:val="16"/>
          <w:szCs w:val="16"/>
        </w:rPr>
      </w:pPr>
      <w:r>
        <w:rPr>
          <w:sz w:val="16"/>
          <w:szCs w:val="16"/>
        </w:rPr>
        <w:t>C. J. Kaufman, Rocky Mountain Research Lab., Boulder, CO, private communication, May 1995.</w:t>
      </w:r>
    </w:p>
    <w:p w:rsidR="0081592F" w:rsidRDefault="0081592F">
      <w:pPr>
        <w:numPr>
          <w:ilvl w:val="0"/>
          <w:numId w:val="4"/>
        </w:numPr>
        <w:spacing w:line="183" w:lineRule="exact"/>
        <w:jc w:val="both"/>
        <w:rPr>
          <w:sz w:val="16"/>
          <w:szCs w:val="16"/>
        </w:rPr>
      </w:pPr>
      <w:r>
        <w:rPr>
          <w:sz w:val="17"/>
          <w:szCs w:val="17"/>
        </w:rPr>
        <w:t xml:space="preserve">Y. Yorozu, M. Hirano, K. Oka, and Y. Tagawa, “Electron </w:t>
      </w:r>
      <w:r>
        <w:rPr>
          <w:sz w:val="16"/>
          <w:szCs w:val="16"/>
        </w:rPr>
        <w:t xml:space="preserve">spectroscopy studies on magneto-optical media and plastic </w:t>
      </w:r>
      <w:r>
        <w:rPr>
          <w:sz w:val="17"/>
          <w:szCs w:val="17"/>
        </w:rPr>
        <w:t xml:space="preserve">substrate interfaces(Translation Journals style),” </w:t>
      </w:r>
      <w:r>
        <w:rPr>
          <w:i/>
          <w:iCs/>
          <w:sz w:val="16"/>
          <w:szCs w:val="16"/>
        </w:rPr>
        <w:t>IEEE Transl. J. Magn.Jpn.</w:t>
      </w:r>
      <w:r>
        <w:rPr>
          <w:sz w:val="16"/>
          <w:szCs w:val="16"/>
        </w:rPr>
        <w:t>, vol. 2, Aug. 1987, pp. 740</w:t>
      </w:r>
      <w:r>
        <w:rPr>
          <w:sz w:val="17"/>
          <w:szCs w:val="17"/>
        </w:rPr>
        <w:t>–</w:t>
      </w:r>
      <w:r>
        <w:rPr>
          <w:sz w:val="16"/>
          <w:szCs w:val="16"/>
        </w:rPr>
        <w:t>741 [</w:t>
      </w:r>
      <w:r>
        <w:rPr>
          <w:i/>
          <w:iCs/>
          <w:sz w:val="16"/>
          <w:szCs w:val="16"/>
        </w:rPr>
        <w:t>Dig. 9</w:t>
      </w:r>
      <w:r>
        <w:rPr>
          <w:i/>
          <w:iCs/>
          <w:sz w:val="10"/>
          <w:szCs w:val="10"/>
        </w:rPr>
        <w:t xml:space="preserve">th </w:t>
      </w:r>
      <w:r>
        <w:rPr>
          <w:i/>
          <w:iCs/>
          <w:sz w:val="16"/>
          <w:szCs w:val="16"/>
        </w:rPr>
        <w:t xml:space="preserve">Annu. Conf. Magnetics </w:t>
      </w:r>
      <w:r>
        <w:rPr>
          <w:sz w:val="16"/>
          <w:szCs w:val="16"/>
        </w:rPr>
        <w:t>Japan, 1982, p. 301].</w:t>
      </w:r>
    </w:p>
    <w:p w:rsidR="0081592F" w:rsidRDefault="0081592F">
      <w:pPr>
        <w:numPr>
          <w:ilvl w:val="0"/>
          <w:numId w:val="5"/>
        </w:numPr>
        <w:spacing w:line="183" w:lineRule="exact"/>
        <w:jc w:val="both"/>
        <w:rPr>
          <w:sz w:val="16"/>
          <w:szCs w:val="16"/>
        </w:rPr>
      </w:pPr>
      <w:r>
        <w:rPr>
          <w:sz w:val="16"/>
          <w:szCs w:val="16"/>
        </w:rPr>
        <w:t xml:space="preserve">M. Young, </w:t>
      </w:r>
      <w:r>
        <w:rPr>
          <w:i/>
          <w:iCs/>
          <w:sz w:val="16"/>
          <w:szCs w:val="16"/>
        </w:rPr>
        <w:t xml:space="preserve">The Techincal Writers Handbook. </w:t>
      </w:r>
      <w:r>
        <w:rPr>
          <w:sz w:val="16"/>
          <w:szCs w:val="16"/>
        </w:rPr>
        <w:t>Mill Valley, CA: University Science, 1989.</w:t>
      </w:r>
    </w:p>
    <w:p w:rsidR="0081592F" w:rsidRDefault="0081592F">
      <w:pPr>
        <w:numPr>
          <w:ilvl w:val="0"/>
          <w:numId w:val="4"/>
        </w:numPr>
        <w:spacing w:line="184" w:lineRule="exact"/>
        <w:jc w:val="both"/>
        <w:rPr>
          <w:sz w:val="16"/>
          <w:szCs w:val="16"/>
        </w:rPr>
      </w:pPr>
      <w:r>
        <w:rPr>
          <w:sz w:val="17"/>
          <w:szCs w:val="17"/>
        </w:rPr>
        <w:t>J. U. Duncombe, “Infrared navigation—</w:t>
      </w:r>
      <w:r>
        <w:rPr>
          <w:sz w:val="16"/>
          <w:szCs w:val="16"/>
        </w:rPr>
        <w:t>Part I: An assessment of fea</w:t>
      </w:r>
      <w:r>
        <w:rPr>
          <w:sz w:val="17"/>
          <w:szCs w:val="17"/>
        </w:rPr>
        <w:t xml:space="preserve">sibility (Periodical style),” </w:t>
      </w:r>
      <w:r>
        <w:rPr>
          <w:i/>
          <w:iCs/>
          <w:sz w:val="16"/>
          <w:szCs w:val="16"/>
        </w:rPr>
        <w:t>IEEE Trans. Electron Devices</w:t>
      </w:r>
      <w:r>
        <w:rPr>
          <w:sz w:val="16"/>
          <w:szCs w:val="16"/>
        </w:rPr>
        <w:t>, vol. ED-11, pp. 34</w:t>
      </w:r>
      <w:r>
        <w:rPr>
          <w:sz w:val="17"/>
          <w:szCs w:val="17"/>
        </w:rPr>
        <w:t>–</w:t>
      </w:r>
      <w:r>
        <w:rPr>
          <w:sz w:val="16"/>
          <w:szCs w:val="16"/>
        </w:rPr>
        <w:t>39, Jan. 1959.</w:t>
      </w:r>
    </w:p>
    <w:p w:rsidR="0081592F" w:rsidRDefault="0081592F">
      <w:pPr>
        <w:numPr>
          <w:ilvl w:val="0"/>
          <w:numId w:val="4"/>
        </w:numPr>
        <w:spacing w:before="4" w:line="184" w:lineRule="exact"/>
        <w:jc w:val="both"/>
        <w:rPr>
          <w:sz w:val="16"/>
          <w:szCs w:val="16"/>
        </w:rPr>
      </w:pPr>
      <w:r>
        <w:rPr>
          <w:sz w:val="17"/>
          <w:szCs w:val="17"/>
        </w:rPr>
        <w:t xml:space="preserve">S. Chen, B. Mulgrew, and P. M. Grant, “A clustering </w:t>
      </w:r>
      <w:r>
        <w:rPr>
          <w:sz w:val="16"/>
          <w:szCs w:val="16"/>
        </w:rPr>
        <w:t xml:space="preserve">technique for digital communications channel equalization </w:t>
      </w:r>
      <w:r>
        <w:rPr>
          <w:sz w:val="17"/>
          <w:szCs w:val="17"/>
        </w:rPr>
        <w:t xml:space="preserve">using radial basis function networks,” </w:t>
      </w:r>
      <w:r>
        <w:rPr>
          <w:i/>
          <w:iCs/>
          <w:sz w:val="16"/>
          <w:szCs w:val="16"/>
        </w:rPr>
        <w:t>IEEE Trans. Neural Networks</w:t>
      </w:r>
      <w:r>
        <w:rPr>
          <w:sz w:val="16"/>
          <w:szCs w:val="16"/>
        </w:rPr>
        <w:t>, vol. 4, pp. 570</w:t>
      </w:r>
      <w:r>
        <w:rPr>
          <w:sz w:val="17"/>
          <w:szCs w:val="17"/>
        </w:rPr>
        <w:t>–</w:t>
      </w:r>
      <w:r>
        <w:rPr>
          <w:sz w:val="16"/>
          <w:szCs w:val="16"/>
        </w:rPr>
        <w:t>578, July 1993.</w:t>
      </w:r>
    </w:p>
    <w:p w:rsidR="0081592F" w:rsidRDefault="0081592F">
      <w:pPr>
        <w:numPr>
          <w:ilvl w:val="0"/>
          <w:numId w:val="4"/>
        </w:numPr>
        <w:spacing w:before="2" w:line="182" w:lineRule="exact"/>
        <w:jc w:val="both"/>
        <w:rPr>
          <w:sz w:val="16"/>
          <w:szCs w:val="16"/>
        </w:rPr>
      </w:pPr>
      <w:r>
        <w:rPr>
          <w:sz w:val="17"/>
          <w:szCs w:val="17"/>
        </w:rPr>
        <w:t xml:space="preserve">R. W. Lucky, “Automatic equalization for digital communication,” </w:t>
      </w:r>
      <w:r>
        <w:rPr>
          <w:i/>
          <w:iCs/>
          <w:sz w:val="16"/>
          <w:szCs w:val="16"/>
        </w:rPr>
        <w:t>Bell Syst. Tech. J.</w:t>
      </w:r>
      <w:r>
        <w:rPr>
          <w:sz w:val="16"/>
          <w:szCs w:val="16"/>
        </w:rPr>
        <w:t>, vol. 44, no. 4, pp. 547</w:t>
      </w:r>
      <w:r>
        <w:rPr>
          <w:sz w:val="17"/>
          <w:szCs w:val="17"/>
        </w:rPr>
        <w:t xml:space="preserve">– </w:t>
      </w:r>
      <w:r>
        <w:rPr>
          <w:sz w:val="16"/>
          <w:szCs w:val="16"/>
        </w:rPr>
        <w:t>588, Apr. 1965.</w:t>
      </w:r>
    </w:p>
    <w:p w:rsidR="0081592F" w:rsidRDefault="0081592F">
      <w:pPr>
        <w:numPr>
          <w:ilvl w:val="0"/>
          <w:numId w:val="4"/>
        </w:numPr>
        <w:spacing w:line="183" w:lineRule="exact"/>
        <w:jc w:val="both"/>
        <w:rPr>
          <w:i/>
          <w:iCs/>
          <w:spacing w:val="-2"/>
          <w:sz w:val="16"/>
          <w:szCs w:val="16"/>
        </w:rPr>
      </w:pPr>
      <w:r>
        <w:rPr>
          <w:spacing w:val="-2"/>
          <w:sz w:val="17"/>
          <w:szCs w:val="17"/>
        </w:rPr>
        <w:t xml:space="preserve">S. P. Bingulac, “On the compatibility of adaptive controllers </w:t>
      </w:r>
      <w:r>
        <w:rPr>
          <w:spacing w:val="-2"/>
          <w:sz w:val="16"/>
          <w:szCs w:val="16"/>
        </w:rPr>
        <w:t>(Published Conferenc</w:t>
      </w:r>
      <w:r>
        <w:rPr>
          <w:spacing w:val="-2"/>
          <w:sz w:val="17"/>
          <w:szCs w:val="17"/>
        </w:rPr>
        <w:t xml:space="preserve">e Proceedings style),” in </w:t>
      </w:r>
      <w:r>
        <w:rPr>
          <w:i/>
          <w:iCs/>
          <w:spacing w:val="-2"/>
          <w:sz w:val="16"/>
          <w:szCs w:val="16"/>
        </w:rPr>
        <w:t>Proc. 4th</w:t>
      </w:r>
    </w:p>
    <w:p w:rsidR="0081592F" w:rsidRDefault="0081592F">
      <w:pPr>
        <w:spacing w:before="6" w:line="184" w:lineRule="exact"/>
        <w:ind w:left="360"/>
        <w:jc w:val="both"/>
        <w:rPr>
          <w:sz w:val="16"/>
          <w:szCs w:val="16"/>
        </w:rPr>
      </w:pPr>
      <w:r>
        <w:rPr>
          <w:spacing w:val="-2"/>
          <w:sz w:val="16"/>
          <w:szCs w:val="16"/>
        </w:rPr>
        <w:br w:type="column"/>
      </w:r>
      <w:r>
        <w:rPr>
          <w:i/>
          <w:iCs/>
          <w:sz w:val="16"/>
          <w:szCs w:val="16"/>
        </w:rPr>
        <w:lastRenderedPageBreak/>
        <w:t>Annu. Allerton Conf. Circuits and Systems Theory</w:t>
      </w:r>
      <w:r>
        <w:rPr>
          <w:sz w:val="16"/>
          <w:szCs w:val="16"/>
        </w:rPr>
        <w:t>, New York, 1994, pp. 8</w:t>
      </w:r>
      <w:r>
        <w:rPr>
          <w:sz w:val="17"/>
          <w:szCs w:val="17"/>
        </w:rPr>
        <w:t>–</w:t>
      </w:r>
      <w:r>
        <w:rPr>
          <w:sz w:val="16"/>
          <w:szCs w:val="16"/>
        </w:rPr>
        <w:t>16.</w:t>
      </w:r>
    </w:p>
    <w:p w:rsidR="0081592F" w:rsidRDefault="0081592F">
      <w:pPr>
        <w:numPr>
          <w:ilvl w:val="0"/>
          <w:numId w:val="4"/>
        </w:numPr>
        <w:spacing w:before="6" w:line="183" w:lineRule="exact"/>
        <w:jc w:val="both"/>
        <w:rPr>
          <w:sz w:val="16"/>
          <w:szCs w:val="16"/>
        </w:rPr>
      </w:pPr>
      <w:r>
        <w:rPr>
          <w:sz w:val="17"/>
          <w:szCs w:val="17"/>
        </w:rPr>
        <w:t xml:space="preserve">G. R. Faulhaber, “Design of service systems with priority reservation,” in </w:t>
      </w:r>
      <w:r>
        <w:rPr>
          <w:i/>
          <w:iCs/>
          <w:sz w:val="16"/>
          <w:szCs w:val="16"/>
        </w:rPr>
        <w:t xml:space="preserve">Conf. Rec. 1995 IEEE Int. Conf. Communications, </w:t>
      </w:r>
      <w:r>
        <w:rPr>
          <w:sz w:val="16"/>
          <w:szCs w:val="16"/>
        </w:rPr>
        <w:t>pp. 3</w:t>
      </w:r>
      <w:r>
        <w:rPr>
          <w:sz w:val="17"/>
          <w:szCs w:val="17"/>
        </w:rPr>
        <w:t>–</w:t>
      </w:r>
      <w:r>
        <w:rPr>
          <w:sz w:val="16"/>
          <w:szCs w:val="16"/>
        </w:rPr>
        <w:t>8.</w:t>
      </w:r>
    </w:p>
    <w:p w:rsidR="0081592F" w:rsidRDefault="0081592F">
      <w:pPr>
        <w:numPr>
          <w:ilvl w:val="0"/>
          <w:numId w:val="5"/>
        </w:numPr>
        <w:spacing w:line="184" w:lineRule="exact"/>
        <w:jc w:val="both"/>
        <w:rPr>
          <w:sz w:val="16"/>
          <w:szCs w:val="16"/>
        </w:rPr>
      </w:pPr>
      <w:r>
        <w:rPr>
          <w:sz w:val="16"/>
          <w:szCs w:val="16"/>
        </w:rPr>
        <w:t xml:space="preserve">W. D. Doyle, </w:t>
      </w:r>
      <w:r>
        <w:rPr>
          <w:sz w:val="17"/>
          <w:szCs w:val="17"/>
        </w:rPr>
        <w:t xml:space="preserve">“Magnetization reversal in films with biaxial anisotropy,” in </w:t>
      </w:r>
      <w:r>
        <w:rPr>
          <w:i/>
          <w:iCs/>
          <w:sz w:val="16"/>
          <w:szCs w:val="16"/>
        </w:rPr>
        <w:t>1987 Proc. INTERMAG Conf.</w:t>
      </w:r>
      <w:r>
        <w:rPr>
          <w:sz w:val="16"/>
          <w:szCs w:val="16"/>
        </w:rPr>
        <w:t>, pp. 2.2-1</w:t>
      </w:r>
      <w:r>
        <w:rPr>
          <w:sz w:val="17"/>
          <w:szCs w:val="17"/>
        </w:rPr>
        <w:t>–</w:t>
      </w:r>
      <w:r>
        <w:rPr>
          <w:sz w:val="16"/>
          <w:szCs w:val="16"/>
        </w:rPr>
        <w:t>2.2- 6.</w:t>
      </w:r>
    </w:p>
    <w:p w:rsidR="0081592F" w:rsidRDefault="0081592F">
      <w:pPr>
        <w:numPr>
          <w:ilvl w:val="0"/>
          <w:numId w:val="4"/>
        </w:numPr>
        <w:spacing w:before="45" w:line="182" w:lineRule="exact"/>
        <w:jc w:val="both"/>
        <w:rPr>
          <w:spacing w:val="-2"/>
          <w:sz w:val="16"/>
          <w:szCs w:val="16"/>
        </w:rPr>
      </w:pPr>
      <w:r>
        <w:rPr>
          <w:spacing w:val="-2"/>
          <w:sz w:val="17"/>
          <w:szCs w:val="17"/>
        </w:rPr>
        <w:t xml:space="preserve">G. W. Juette and L. E. Zeffanella, “Radio noise currents n </w:t>
      </w:r>
      <w:r>
        <w:rPr>
          <w:spacing w:val="-2"/>
          <w:sz w:val="16"/>
          <w:szCs w:val="16"/>
        </w:rPr>
        <w:t xml:space="preserve">short sections on bundle conductors (Presented Conference </w:t>
      </w:r>
      <w:r>
        <w:rPr>
          <w:spacing w:val="-2"/>
          <w:sz w:val="17"/>
          <w:szCs w:val="17"/>
        </w:rPr>
        <w:t xml:space="preserve">Paper style),” presented at the </w:t>
      </w:r>
      <w:r>
        <w:rPr>
          <w:spacing w:val="-2"/>
          <w:sz w:val="16"/>
          <w:szCs w:val="16"/>
        </w:rPr>
        <w:t>IEEE Summer power Meeting, Dallas, TX, June 22</w:t>
      </w:r>
      <w:r>
        <w:rPr>
          <w:spacing w:val="-2"/>
          <w:sz w:val="17"/>
          <w:szCs w:val="17"/>
        </w:rPr>
        <w:t>–</w:t>
      </w:r>
      <w:r>
        <w:rPr>
          <w:spacing w:val="-2"/>
          <w:sz w:val="16"/>
          <w:szCs w:val="16"/>
        </w:rPr>
        <w:t>27, 1990, Paper 90 SM 690-0 PWRS.</w:t>
      </w:r>
    </w:p>
    <w:p w:rsidR="0081592F" w:rsidRDefault="0081592F">
      <w:pPr>
        <w:numPr>
          <w:ilvl w:val="0"/>
          <w:numId w:val="4"/>
        </w:numPr>
        <w:spacing w:before="3" w:line="183" w:lineRule="exact"/>
        <w:jc w:val="both"/>
        <w:rPr>
          <w:sz w:val="16"/>
          <w:szCs w:val="16"/>
        </w:rPr>
      </w:pPr>
      <w:r>
        <w:rPr>
          <w:sz w:val="17"/>
          <w:szCs w:val="17"/>
        </w:rPr>
        <w:t>J. G. Kreifeldt, “An analysis of surface</w:t>
      </w:r>
      <w:r>
        <w:rPr>
          <w:sz w:val="16"/>
          <w:szCs w:val="16"/>
        </w:rPr>
        <w:t>-detected EMG as an amplitude-</w:t>
      </w:r>
      <w:r>
        <w:rPr>
          <w:sz w:val="17"/>
          <w:szCs w:val="17"/>
        </w:rPr>
        <w:t xml:space="preserve">modulated noise,” presented at the 1989 Int. Conf. </w:t>
      </w:r>
      <w:r>
        <w:rPr>
          <w:sz w:val="16"/>
          <w:szCs w:val="16"/>
        </w:rPr>
        <w:t>Medicine and Biological Engineering, Chicago, IL.</w:t>
      </w:r>
    </w:p>
    <w:p w:rsidR="0081592F" w:rsidRDefault="0081592F">
      <w:pPr>
        <w:numPr>
          <w:ilvl w:val="0"/>
          <w:numId w:val="5"/>
        </w:numPr>
        <w:spacing w:before="6" w:line="182" w:lineRule="exact"/>
        <w:jc w:val="both"/>
        <w:rPr>
          <w:sz w:val="16"/>
          <w:szCs w:val="16"/>
        </w:rPr>
      </w:pPr>
      <w:r>
        <w:rPr>
          <w:sz w:val="16"/>
          <w:szCs w:val="16"/>
        </w:rPr>
        <w:t>J. W</w:t>
      </w:r>
      <w:r>
        <w:rPr>
          <w:sz w:val="17"/>
          <w:szCs w:val="17"/>
        </w:rPr>
        <w:t>illiams, “Narrow</w:t>
      </w:r>
      <w:r>
        <w:rPr>
          <w:sz w:val="16"/>
          <w:szCs w:val="16"/>
        </w:rPr>
        <w:t xml:space="preserve">-band analyzer (Thesis or Dissertation </w:t>
      </w:r>
      <w:r>
        <w:rPr>
          <w:sz w:val="17"/>
          <w:szCs w:val="17"/>
        </w:rPr>
        <w:t xml:space="preserve">style),” Ph.D. dissertation, Dept. Elect. Eng., Harvard Univ., </w:t>
      </w:r>
      <w:r>
        <w:rPr>
          <w:sz w:val="16"/>
          <w:szCs w:val="16"/>
        </w:rPr>
        <w:t>Cambridge, MA, 1993.</w:t>
      </w:r>
    </w:p>
    <w:p w:rsidR="0081592F" w:rsidRDefault="0081592F">
      <w:pPr>
        <w:numPr>
          <w:ilvl w:val="0"/>
          <w:numId w:val="4"/>
        </w:numPr>
        <w:spacing w:before="6" w:line="181" w:lineRule="exact"/>
        <w:jc w:val="both"/>
        <w:rPr>
          <w:sz w:val="16"/>
          <w:szCs w:val="16"/>
        </w:rPr>
      </w:pPr>
      <w:r>
        <w:rPr>
          <w:sz w:val="17"/>
          <w:szCs w:val="17"/>
        </w:rPr>
        <w:t xml:space="preserve">N. Kawasaki, “Parametric study of thermal and chemical nonequilibrium nozzle flow,” M.S. thesis, Dept. Electron. </w:t>
      </w:r>
      <w:r>
        <w:rPr>
          <w:sz w:val="16"/>
          <w:szCs w:val="16"/>
        </w:rPr>
        <w:t>Eng., Osaka Univ., Osaka, Japan, 1993.</w:t>
      </w:r>
    </w:p>
    <w:p w:rsidR="0081592F" w:rsidRDefault="0081592F">
      <w:pPr>
        <w:numPr>
          <w:ilvl w:val="0"/>
          <w:numId w:val="4"/>
        </w:numPr>
        <w:spacing w:line="182" w:lineRule="exact"/>
        <w:jc w:val="both"/>
        <w:rPr>
          <w:sz w:val="17"/>
          <w:szCs w:val="17"/>
        </w:rPr>
      </w:pPr>
      <w:r>
        <w:rPr>
          <w:sz w:val="17"/>
          <w:szCs w:val="17"/>
        </w:rPr>
        <w:t>J. P. Wilkinson, “Nonlinear resonant circuit devices (Patent style),” U.S. Patent 3 624 12, July 16, 1990.</w:t>
      </w:r>
    </w:p>
    <w:p w:rsidR="0081592F" w:rsidRDefault="0081592F">
      <w:pPr>
        <w:numPr>
          <w:ilvl w:val="0"/>
          <w:numId w:val="6"/>
        </w:numPr>
        <w:spacing w:before="3" w:line="183" w:lineRule="exact"/>
        <w:jc w:val="both"/>
        <w:rPr>
          <w:sz w:val="16"/>
          <w:szCs w:val="16"/>
        </w:rPr>
      </w:pPr>
      <w:r>
        <w:rPr>
          <w:i/>
          <w:iCs/>
          <w:sz w:val="16"/>
          <w:szCs w:val="16"/>
        </w:rPr>
        <w:t xml:space="preserve">IEEE Criteria for Class IE Electric Systems </w:t>
      </w:r>
      <w:r>
        <w:rPr>
          <w:sz w:val="16"/>
          <w:szCs w:val="16"/>
        </w:rPr>
        <w:t>(Standards style)</w:t>
      </w:r>
      <w:r>
        <w:rPr>
          <w:i/>
          <w:iCs/>
          <w:sz w:val="16"/>
          <w:szCs w:val="16"/>
        </w:rPr>
        <w:t xml:space="preserve">, </w:t>
      </w:r>
      <w:r>
        <w:rPr>
          <w:sz w:val="16"/>
          <w:szCs w:val="16"/>
        </w:rPr>
        <w:t>IEEE Standard 308, 1969.</w:t>
      </w:r>
    </w:p>
    <w:p w:rsidR="0081592F" w:rsidRDefault="0081592F">
      <w:pPr>
        <w:numPr>
          <w:ilvl w:val="0"/>
          <w:numId w:val="6"/>
        </w:numPr>
        <w:spacing w:line="185" w:lineRule="exact"/>
        <w:jc w:val="both"/>
        <w:rPr>
          <w:sz w:val="16"/>
          <w:szCs w:val="16"/>
        </w:rPr>
      </w:pPr>
      <w:r>
        <w:rPr>
          <w:i/>
          <w:iCs/>
          <w:sz w:val="16"/>
          <w:szCs w:val="16"/>
        </w:rPr>
        <w:t>Letter Symbols for Quantities</w:t>
      </w:r>
      <w:r>
        <w:rPr>
          <w:sz w:val="16"/>
          <w:szCs w:val="16"/>
        </w:rPr>
        <w:t>, ANSI Standard Y10.5-1968.</w:t>
      </w:r>
    </w:p>
    <w:p w:rsidR="0081592F" w:rsidRDefault="0081592F">
      <w:pPr>
        <w:numPr>
          <w:ilvl w:val="0"/>
          <w:numId w:val="4"/>
        </w:numPr>
        <w:spacing w:before="10" w:line="182" w:lineRule="exact"/>
        <w:jc w:val="both"/>
        <w:rPr>
          <w:sz w:val="16"/>
          <w:szCs w:val="16"/>
        </w:rPr>
      </w:pPr>
      <w:r>
        <w:rPr>
          <w:sz w:val="17"/>
          <w:szCs w:val="17"/>
        </w:rPr>
        <w:t xml:space="preserve">R. E. Haskell and C. T. Case, “Transient signal propagation in lossless isotropic plasmas (Report style),” USAF </w:t>
      </w:r>
      <w:r>
        <w:rPr>
          <w:sz w:val="16"/>
          <w:szCs w:val="16"/>
        </w:rPr>
        <w:t>Cambridge Res. Lab., Cambridge, MA Rep. ARCRL-6-24 (II), 1994, vol. 2.</w:t>
      </w:r>
    </w:p>
    <w:p w:rsidR="0081592F" w:rsidRDefault="0081592F">
      <w:pPr>
        <w:numPr>
          <w:ilvl w:val="0"/>
          <w:numId w:val="5"/>
        </w:numPr>
        <w:spacing w:before="6" w:line="182" w:lineRule="exact"/>
        <w:jc w:val="both"/>
        <w:rPr>
          <w:spacing w:val="-2"/>
          <w:sz w:val="16"/>
          <w:szCs w:val="16"/>
        </w:rPr>
      </w:pPr>
      <w:r>
        <w:rPr>
          <w:spacing w:val="-2"/>
          <w:sz w:val="16"/>
          <w:szCs w:val="16"/>
        </w:rPr>
        <w:t>E. E. Reber, R. L. Michell, and C. J. Ca</w:t>
      </w:r>
      <w:r>
        <w:rPr>
          <w:spacing w:val="-2"/>
          <w:sz w:val="17"/>
          <w:szCs w:val="17"/>
        </w:rPr>
        <w:t xml:space="preserve">rter, “Oxygen absorption in the Earth’s atmosphere,” Aerospace Corp., Los </w:t>
      </w:r>
      <w:r>
        <w:rPr>
          <w:spacing w:val="-2"/>
          <w:sz w:val="16"/>
          <w:szCs w:val="16"/>
        </w:rPr>
        <w:t>Angeles, CA, Tech. Rep. TR-0200 (420-46)-3, Nov. 1988.</w:t>
      </w:r>
    </w:p>
    <w:p w:rsidR="0081592F" w:rsidRDefault="0081592F">
      <w:pPr>
        <w:numPr>
          <w:ilvl w:val="0"/>
          <w:numId w:val="5"/>
        </w:numPr>
        <w:spacing w:line="183" w:lineRule="exact"/>
        <w:jc w:val="both"/>
        <w:rPr>
          <w:sz w:val="16"/>
          <w:szCs w:val="16"/>
        </w:rPr>
      </w:pPr>
      <w:r>
        <w:rPr>
          <w:sz w:val="16"/>
          <w:szCs w:val="16"/>
        </w:rPr>
        <w:t xml:space="preserve">(Handbook style) </w:t>
      </w:r>
      <w:r>
        <w:rPr>
          <w:i/>
          <w:iCs/>
          <w:sz w:val="16"/>
          <w:szCs w:val="16"/>
        </w:rPr>
        <w:t xml:space="preserve">Transmission Systems for Communications, </w:t>
      </w:r>
      <w:r>
        <w:rPr>
          <w:sz w:val="16"/>
          <w:szCs w:val="16"/>
        </w:rPr>
        <w:t>3rd ed., Western Electric Co., Winston-Salem, NC, 1985, pp. 44</w:t>
      </w:r>
      <w:r>
        <w:rPr>
          <w:sz w:val="17"/>
          <w:szCs w:val="17"/>
        </w:rPr>
        <w:t>–</w:t>
      </w:r>
      <w:r>
        <w:rPr>
          <w:sz w:val="16"/>
          <w:szCs w:val="16"/>
        </w:rPr>
        <w:t>60.</w:t>
      </w:r>
    </w:p>
    <w:p w:rsidR="0081592F" w:rsidRDefault="0081592F">
      <w:pPr>
        <w:numPr>
          <w:ilvl w:val="0"/>
          <w:numId w:val="6"/>
        </w:numPr>
        <w:spacing w:line="183" w:lineRule="exact"/>
        <w:jc w:val="both"/>
        <w:rPr>
          <w:sz w:val="16"/>
          <w:szCs w:val="16"/>
        </w:rPr>
      </w:pPr>
      <w:r>
        <w:rPr>
          <w:i/>
          <w:iCs/>
          <w:sz w:val="16"/>
          <w:szCs w:val="16"/>
        </w:rPr>
        <w:t xml:space="preserve">Motorola Semiconductor Data Manual, </w:t>
      </w:r>
      <w:r>
        <w:rPr>
          <w:sz w:val="16"/>
          <w:szCs w:val="16"/>
        </w:rPr>
        <w:t>Motorola Semiconductor Products Inc., Phoenix, AZ, 1989.</w:t>
      </w:r>
    </w:p>
    <w:p w:rsidR="0081592F" w:rsidRDefault="0081592F">
      <w:pPr>
        <w:numPr>
          <w:ilvl w:val="0"/>
          <w:numId w:val="5"/>
        </w:numPr>
        <w:spacing w:before="2" w:line="184" w:lineRule="exact"/>
        <w:jc w:val="both"/>
        <w:rPr>
          <w:color w:val="0000FF"/>
          <w:spacing w:val="2"/>
          <w:sz w:val="16"/>
          <w:szCs w:val="16"/>
        </w:rPr>
      </w:pPr>
      <w:r>
        <w:rPr>
          <w:spacing w:val="2"/>
          <w:sz w:val="16"/>
          <w:szCs w:val="16"/>
        </w:rPr>
        <w:t xml:space="preserve">(Basic Book/Monograph Online Sources) J. K. Author. (year, month, day). </w:t>
      </w:r>
      <w:r>
        <w:rPr>
          <w:i/>
          <w:iCs/>
          <w:spacing w:val="2"/>
          <w:sz w:val="16"/>
          <w:szCs w:val="16"/>
        </w:rPr>
        <w:t xml:space="preserve">Title </w:t>
      </w:r>
      <w:r>
        <w:rPr>
          <w:spacing w:val="2"/>
          <w:sz w:val="16"/>
          <w:szCs w:val="16"/>
        </w:rPr>
        <w:t>(edition) [Type of medium]. Volume(issue). Available:</w:t>
      </w:r>
      <w:r>
        <w:rPr>
          <w:color w:val="0000FF"/>
          <w:spacing w:val="2"/>
          <w:sz w:val="16"/>
          <w:szCs w:val="16"/>
          <w:u w:val="single"/>
        </w:rPr>
        <w:t xml:space="preserve"> </w:t>
      </w:r>
      <w:hyperlink r:id="rId8" w:history="1">
        <w:r>
          <w:rPr>
            <w:color w:val="0000FF"/>
            <w:spacing w:val="2"/>
            <w:sz w:val="16"/>
            <w:szCs w:val="16"/>
            <w:u w:val="single"/>
          </w:rPr>
          <w:t>http://www</w:t>
        </w:r>
      </w:hyperlink>
      <w:r>
        <w:rPr>
          <w:color w:val="0000FF"/>
          <w:spacing w:val="2"/>
          <w:sz w:val="16"/>
          <w:szCs w:val="16"/>
          <w:u w:val="single"/>
        </w:rPr>
        <w:t>.(URL)</w:t>
      </w:r>
    </w:p>
    <w:p w:rsidR="0081592F" w:rsidRDefault="0081592F">
      <w:pPr>
        <w:numPr>
          <w:ilvl w:val="0"/>
          <w:numId w:val="5"/>
        </w:numPr>
        <w:spacing w:before="3" w:line="183" w:lineRule="exact"/>
        <w:jc w:val="both"/>
        <w:rPr>
          <w:sz w:val="16"/>
          <w:szCs w:val="16"/>
        </w:rPr>
      </w:pPr>
      <w:r>
        <w:rPr>
          <w:sz w:val="16"/>
          <w:szCs w:val="16"/>
        </w:rPr>
        <w:t>J. Jones. (1991, May 10). Networks (2nd ed.) [Online]. Available:</w:t>
      </w:r>
      <w:r>
        <w:rPr>
          <w:color w:val="0000FF"/>
          <w:sz w:val="16"/>
          <w:szCs w:val="16"/>
          <w:u w:val="single"/>
        </w:rPr>
        <w:t xml:space="preserve"> </w:t>
      </w:r>
      <w:hyperlink r:id="rId9" w:history="1">
        <w:r>
          <w:rPr>
            <w:color w:val="0000FF"/>
            <w:sz w:val="16"/>
            <w:szCs w:val="16"/>
            <w:u w:val="single"/>
          </w:rPr>
          <w:t>http://www.atm.com</w:t>
        </w:r>
      </w:hyperlink>
      <w:r>
        <w:rPr>
          <w:sz w:val="16"/>
          <w:szCs w:val="16"/>
        </w:rPr>
        <w:t xml:space="preserve"> </w:t>
      </w:r>
    </w:p>
    <w:p w:rsidR="0081592F" w:rsidRDefault="0081592F">
      <w:pPr>
        <w:numPr>
          <w:ilvl w:val="0"/>
          <w:numId w:val="5"/>
        </w:numPr>
        <w:spacing w:before="1" w:line="184" w:lineRule="exact"/>
        <w:jc w:val="both"/>
        <w:rPr>
          <w:sz w:val="16"/>
          <w:szCs w:val="16"/>
        </w:rPr>
      </w:pPr>
      <w:r>
        <w:rPr>
          <w:sz w:val="16"/>
          <w:szCs w:val="16"/>
        </w:rPr>
        <w:t xml:space="preserve">(Journal Online Sources style) K. Author. (year, month). Title. </w:t>
      </w:r>
      <w:r>
        <w:rPr>
          <w:i/>
          <w:iCs/>
          <w:sz w:val="16"/>
          <w:szCs w:val="16"/>
        </w:rPr>
        <w:t xml:space="preserve">Journal </w:t>
      </w:r>
      <w:r>
        <w:rPr>
          <w:sz w:val="16"/>
          <w:szCs w:val="16"/>
        </w:rPr>
        <w:t>[Type of medium]. Volume(issue), paging if</w:t>
      </w:r>
    </w:p>
    <w:p w:rsidR="0081592F" w:rsidRDefault="0081592F">
      <w:pPr>
        <w:tabs>
          <w:tab w:val="left" w:pos="1152"/>
        </w:tabs>
        <w:spacing w:line="183" w:lineRule="exact"/>
        <w:ind w:left="360"/>
        <w:rPr>
          <w:color w:val="0000FF"/>
          <w:sz w:val="16"/>
          <w:szCs w:val="16"/>
        </w:rPr>
      </w:pPr>
      <w:r>
        <w:rPr>
          <w:sz w:val="16"/>
          <w:szCs w:val="16"/>
        </w:rPr>
        <w:t>given.</w:t>
      </w:r>
      <w:r>
        <w:rPr>
          <w:sz w:val="16"/>
          <w:szCs w:val="16"/>
        </w:rPr>
        <w:tab/>
        <w:t>Available:</w:t>
      </w:r>
      <w:r>
        <w:rPr>
          <w:color w:val="0000FF"/>
          <w:sz w:val="16"/>
          <w:szCs w:val="16"/>
          <w:u w:val="single"/>
        </w:rPr>
        <w:t xml:space="preserve"> </w:t>
      </w:r>
      <w:hyperlink r:id="rId10" w:history="1">
        <w:r>
          <w:rPr>
            <w:color w:val="0000FF"/>
            <w:sz w:val="16"/>
            <w:szCs w:val="16"/>
            <w:u w:val="single"/>
          </w:rPr>
          <w:t>http://www</w:t>
        </w:r>
      </w:hyperlink>
      <w:r>
        <w:rPr>
          <w:color w:val="0000FF"/>
          <w:sz w:val="16"/>
          <w:szCs w:val="16"/>
          <w:u w:val="single"/>
        </w:rPr>
        <w:t>.(URL)</w:t>
      </w:r>
    </w:p>
    <w:sectPr w:rsidR="0081592F" w:rsidSect="0081592F">
      <w:pgSz w:w="11909" w:h="16834"/>
      <w:pgMar w:top="1435" w:right="1355" w:bottom="1130" w:left="1429" w:header="720" w:footer="720" w:gutter="0"/>
      <w:cols w:num="2" w:space="720" w:equalWidth="0">
        <w:col w:w="4387" w:space="291"/>
        <w:col w:w="4387"/>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E94E"/>
    <w:multiLevelType w:val="singleLevel"/>
    <w:tmpl w:val="503E6791"/>
    <w:lvl w:ilvl="0">
      <w:start w:val="1"/>
      <w:numFmt w:val="decimal"/>
      <w:lvlText w:val="[%1]"/>
      <w:lvlJc w:val="left"/>
      <w:pPr>
        <w:tabs>
          <w:tab w:val="num" w:pos="360"/>
        </w:tabs>
        <w:ind w:left="360" w:hanging="360"/>
      </w:pPr>
      <w:rPr>
        <w:snapToGrid/>
        <w:spacing w:val="-2"/>
        <w:sz w:val="17"/>
        <w:szCs w:val="17"/>
      </w:rPr>
    </w:lvl>
  </w:abstractNum>
  <w:abstractNum w:abstractNumId="1">
    <w:nsid w:val="053299CD"/>
    <w:multiLevelType w:val="singleLevel"/>
    <w:tmpl w:val="324176F5"/>
    <w:lvl w:ilvl="0">
      <w:start w:val="1"/>
      <w:numFmt w:val="decimal"/>
      <w:lvlText w:val="%1)"/>
      <w:lvlJc w:val="left"/>
      <w:pPr>
        <w:tabs>
          <w:tab w:val="num" w:pos="720"/>
        </w:tabs>
        <w:ind w:firstLine="288"/>
      </w:pPr>
      <w:rPr>
        <w:i/>
        <w:iCs/>
        <w:snapToGrid/>
        <w:sz w:val="20"/>
        <w:szCs w:val="20"/>
      </w:rPr>
    </w:lvl>
  </w:abstractNum>
  <w:abstractNum w:abstractNumId="2">
    <w:nsid w:val="079F21C7"/>
    <w:multiLevelType w:val="singleLevel"/>
    <w:tmpl w:val="57887AC7"/>
    <w:lvl w:ilvl="0">
      <w:start w:val="2"/>
      <w:numFmt w:val="upperLetter"/>
      <w:lvlText w:val="%1."/>
      <w:lvlJc w:val="left"/>
      <w:pPr>
        <w:tabs>
          <w:tab w:val="num" w:pos="288"/>
        </w:tabs>
      </w:pPr>
      <w:rPr>
        <w:i/>
        <w:iCs/>
        <w:snapToGrid/>
        <w:sz w:val="20"/>
        <w:szCs w:val="20"/>
      </w:rPr>
    </w:lvl>
  </w:abstractNum>
  <w:num w:numId="1">
    <w:abstractNumId w:val="1"/>
  </w:num>
  <w:num w:numId="2">
    <w:abstractNumId w:val="2"/>
  </w:num>
  <w:num w:numId="3">
    <w:abstractNumId w:val="2"/>
    <w:lvlOverride w:ilvl="0">
      <w:lvl w:ilvl="0">
        <w:numFmt w:val="upperLetter"/>
        <w:lvlText w:val="%1."/>
        <w:lvlJc w:val="left"/>
        <w:pPr>
          <w:tabs>
            <w:tab w:val="num" w:pos="360"/>
          </w:tabs>
        </w:pPr>
        <w:rPr>
          <w:i/>
          <w:iCs/>
          <w:snapToGrid/>
          <w:spacing w:val="-4"/>
          <w:sz w:val="20"/>
          <w:szCs w:val="20"/>
        </w:rPr>
      </w:lvl>
    </w:lvlOverride>
  </w:num>
  <w:num w:numId="4">
    <w:abstractNumId w:val="0"/>
  </w:num>
  <w:num w:numId="5">
    <w:abstractNumId w:val="0"/>
    <w:lvlOverride w:ilvl="0">
      <w:lvl w:ilvl="0">
        <w:numFmt w:val="decimal"/>
        <w:lvlText w:val="[%1]"/>
        <w:lvlJc w:val="left"/>
        <w:pPr>
          <w:tabs>
            <w:tab w:val="num" w:pos="360"/>
          </w:tabs>
          <w:ind w:left="360" w:hanging="360"/>
        </w:pPr>
        <w:rPr>
          <w:snapToGrid/>
          <w:sz w:val="16"/>
          <w:szCs w:val="16"/>
        </w:rPr>
      </w:lvl>
    </w:lvlOverride>
  </w:num>
  <w:num w:numId="6">
    <w:abstractNumId w:val="0"/>
    <w:lvlOverride w:ilvl="0">
      <w:lvl w:ilvl="0">
        <w:numFmt w:val="decimal"/>
        <w:lvlText w:val="[%1]"/>
        <w:lvlJc w:val="left"/>
        <w:pPr>
          <w:tabs>
            <w:tab w:val="num" w:pos="360"/>
          </w:tabs>
          <w:ind w:left="360" w:hanging="360"/>
        </w:pPr>
        <w:rPr>
          <w:i/>
          <w:iCs/>
          <w:snapToGrid/>
          <w:sz w:val="16"/>
          <w:szCs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2F"/>
    <w:rsid w:val="004C3DFC"/>
    <w:rsid w:val="0081592F"/>
    <w:rsid w:val="00AC5949"/>
    <w:rsid w:val="00C664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4B9"/>
    <w:rPr>
      <w:rFonts w:ascii="Tahoma" w:hAnsi="Tahoma" w:cs="Tahoma"/>
      <w:sz w:val="16"/>
      <w:szCs w:val="16"/>
    </w:rPr>
  </w:style>
  <w:style w:type="character" w:customStyle="1" w:styleId="BalloonTextChar">
    <w:name w:val="Balloon Text Char"/>
    <w:basedOn w:val="DefaultParagraphFont"/>
    <w:link w:val="BalloonText"/>
    <w:uiPriority w:val="99"/>
    <w:semiHidden/>
    <w:rsid w:val="00C664B9"/>
    <w:rPr>
      <w:rFonts w:ascii="Tahoma" w:hAnsi="Tahoma" w:cs="Tahoma"/>
      <w:sz w:val="16"/>
      <w:szCs w:val="16"/>
      <w:lang w:val="en-US"/>
    </w:rPr>
  </w:style>
  <w:style w:type="character" w:styleId="Hyperlink">
    <w:name w:val="Hyperlink"/>
    <w:basedOn w:val="DefaultParagraphFont"/>
    <w:uiPriority w:val="99"/>
    <w:unhideWhenUsed/>
    <w:rsid w:val="00C664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4B9"/>
    <w:rPr>
      <w:rFonts w:ascii="Tahoma" w:hAnsi="Tahoma" w:cs="Tahoma"/>
      <w:sz w:val="16"/>
      <w:szCs w:val="16"/>
    </w:rPr>
  </w:style>
  <w:style w:type="character" w:customStyle="1" w:styleId="BalloonTextChar">
    <w:name w:val="Balloon Text Char"/>
    <w:basedOn w:val="DefaultParagraphFont"/>
    <w:link w:val="BalloonText"/>
    <w:uiPriority w:val="99"/>
    <w:semiHidden/>
    <w:rsid w:val="00C664B9"/>
    <w:rPr>
      <w:rFonts w:ascii="Tahoma" w:hAnsi="Tahoma" w:cs="Tahoma"/>
      <w:sz w:val="16"/>
      <w:szCs w:val="16"/>
      <w:lang w:val="en-US"/>
    </w:rPr>
  </w:style>
  <w:style w:type="character" w:styleId="Hyperlink">
    <w:name w:val="Hyperlink"/>
    <w:basedOn w:val="DefaultParagraphFont"/>
    <w:uiPriority w:val="99"/>
    <w:unhideWhenUsed/>
    <w:rsid w:val="00C664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dyaacademy.ac.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at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dc:creator>
  <cp:keywords/>
  <dc:description/>
  <cp:lastModifiedBy>muhammed sadique</cp:lastModifiedBy>
  <cp:revision>4</cp:revision>
  <dcterms:created xsi:type="dcterms:W3CDTF">2015-03-30T10:07:00Z</dcterms:created>
  <dcterms:modified xsi:type="dcterms:W3CDTF">2017-03-07T05:19:00Z</dcterms:modified>
</cp:coreProperties>
</file>